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33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11-K</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720" w:right="2059" w:hanging="3712"/>
        <w:spacing w:after="0" w:line="281" w:lineRule="auto"/>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15(d) OF THE SECURITIES EXCHANGE ACT OF 1934 For the fiscal year ended December 31, 2019</w:t>
      </w:r>
    </w:p>
    <w:p>
      <w:pPr>
        <w:spacing w:after="0" w:line="106"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168" w:lineRule="exact"/>
        <w:rPr>
          <w:sz w:val="24"/>
          <w:szCs w:val="24"/>
          <w:color w:val="auto"/>
        </w:rPr>
      </w:pPr>
    </w:p>
    <w:p>
      <w:pPr>
        <w:ind w:left="3120" w:right="1659" w:hanging="3112"/>
        <w:spacing w:after="0" w:line="305" w:lineRule="auto"/>
        <w:tabs>
          <w:tab w:leader="none" w:pos="26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15(d) OF THE SECURITIES EXCHANGE ACT OF 1934 For the transition period from ___________ to___________</w:t>
      </w:r>
    </w:p>
    <w:p>
      <w:pPr>
        <w:spacing w:after="0" w:line="8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001-15059</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13" w:lineRule="exact"/>
        <w:rPr>
          <w:sz w:val="24"/>
          <w:szCs w:val="24"/>
          <w:color w:val="auto"/>
        </w:rPr>
      </w:pPr>
    </w:p>
    <w:p>
      <w:pPr>
        <w:ind w:left="3320"/>
        <w:spacing w:after="0"/>
        <w:rPr>
          <w:sz w:val="20"/>
          <w:szCs w:val="20"/>
          <w:color w:val="auto"/>
        </w:rPr>
      </w:pPr>
      <w:r>
        <w:rPr>
          <w:rFonts w:ascii="Arial" w:cs="Arial" w:eastAsia="Arial" w:hAnsi="Arial"/>
          <w:sz w:val="43"/>
          <w:szCs w:val="43"/>
          <w:b w:val="1"/>
          <w:bCs w:val="1"/>
          <w:color w:val="auto"/>
        </w:rPr>
        <w:t>Nordstrom 401(k) Plan</w:t>
      </w: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color w:val="auto"/>
        </w:rPr>
        <w:t>B. Name of issuer of the securities held pursuant to the plan and the address of its principal executive office:</w:t>
      </w: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Nordstrom, Inc.</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1617 Sixth Avenue, Seattle, Washington 98101</w:t>
      </w:r>
    </w:p>
    <w:p>
      <w:pPr>
        <w:sectPr>
          <w:pgSz w:w="11900" w:h="16838" w:orient="portrait"/>
          <w:cols w:equalWidth="0" w:num="1">
            <w:col w:w="10139"/>
          </w:cols>
          <w:pgMar w:left="320" w:top="1197" w:right="1440" w:bottom="1440" w:gutter="0" w:footer="0" w:header="0"/>
        </w:sectPr>
      </w:pPr>
    </w:p>
    <w:bookmarkStart w:id="1" w:name="page2"/>
    <w:bookmarkEnd w:id="1"/>
    <w:p>
      <w:pPr>
        <w:ind w:left="4500"/>
        <w:spacing w:after="0"/>
        <w:rPr>
          <w:sz w:val="20"/>
          <w:szCs w:val="20"/>
          <w:color w:val="auto"/>
        </w:rPr>
      </w:pPr>
      <w:r>
        <w:rPr>
          <w:rFonts w:ascii="Arial" w:cs="Arial" w:eastAsia="Arial" w:hAnsi="Arial"/>
          <w:sz w:val="18"/>
          <w:szCs w:val="18"/>
          <w:b w:val="1"/>
          <w:bCs w:val="1"/>
          <w:color w:val="auto"/>
        </w:rPr>
        <w:t>REQUIRED INFORMATION</w:t>
      </w:r>
    </w:p>
    <w:p>
      <w:pPr>
        <w:spacing w:after="0" w:line="27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firstLine="8"/>
        <w:spacing w:after="0" w:line="291" w:lineRule="auto"/>
        <w:tabs>
          <w:tab w:leader="none" w:pos="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Nordstrom 401(k) Plan is subject to the requirements of the Employee Retirement Income Security Act of 1974 (“ERISA”). Plan financial statements and schedules prepared in accordance with the financial reporting requirements of ERISA are filed as Exhibit 99.1.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Consent of Independent Registered Public Accounting Firm is filed as 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located on 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320" w:top="927" w:right="8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Nordstrom 401(k) Plan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131" w:lineRule="exact"/>
        <w:rPr>
          <w:sz w:val="20"/>
          <w:szCs w:val="20"/>
          <w:color w:val="auto"/>
        </w:rPr>
      </w:pPr>
    </w:p>
    <w:p>
      <w:pPr>
        <w:ind w:left="3140"/>
        <w:spacing w:after="0"/>
        <w:tabs>
          <w:tab w:leader="none" w:pos="8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40" w:top="913" w:right="479" w:bottom="1440" w:gutter="0" w:footer="0" w:header="0"/>
        </w:sectPr>
      </w:pPr>
    </w:p>
    <w:p>
      <w:pPr>
        <w:spacing w:after="0" w:line="72" w:lineRule="exact"/>
        <w:rPr>
          <w:sz w:val="20"/>
          <w:szCs w:val="20"/>
          <w:color w:val="auto"/>
        </w:rPr>
      </w:pP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5">
        <w:r>
          <w:rPr>
            <w:rFonts w:ascii="Arial" w:cs="Arial" w:eastAsia="Arial" w:hAnsi="Arial"/>
            <w:sz w:val="17"/>
            <w:szCs w:val="17"/>
            <w:u w:val="single" w:color="auto"/>
            <w:color w:val="0000FF"/>
          </w:rPr>
          <w:t>Consent of Independent Registered Public Accounting Firm</w:t>
        </w:r>
      </w:hyperlink>
    </w:p>
    <w:p>
      <w:pPr>
        <w:spacing w:after="0" w:line="104" w:lineRule="exact"/>
        <w:rPr>
          <w:sz w:val="20"/>
          <w:szCs w:val="20"/>
          <w:color w:val="auto"/>
        </w:rPr>
      </w:pP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7"/>
            <w:szCs w:val="17"/>
            <w:u w:val="single" w:color="auto"/>
            <w:color w:val="0000FF"/>
          </w:rPr>
          <w:t>Nordstrom 401(k) Plan Financial Statements</w:t>
        </w:r>
      </w:hyperlink>
    </w:p>
    <w:p>
      <w:pPr>
        <w:spacing w:after="0" w:line="104" w:lineRule="exact"/>
        <w:rPr>
          <w:sz w:val="20"/>
          <w:szCs w:val="20"/>
          <w:color w:val="auto"/>
        </w:rPr>
      </w:pP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99.2</w:t>
      </w:r>
      <w:r>
        <w:rPr>
          <w:sz w:val="20"/>
          <w:szCs w:val="20"/>
          <w:color w:val="auto"/>
        </w:rPr>
        <w:tab/>
      </w:r>
      <w:hyperlink r:id="rId9">
        <w:r>
          <w:rPr>
            <w:rFonts w:ascii="Arial" w:cs="Arial" w:eastAsia="Arial" w:hAnsi="Arial"/>
            <w:sz w:val="17"/>
            <w:szCs w:val="17"/>
            <w:u w:val="single" w:color="auto"/>
            <w:color w:val="0000FF"/>
          </w:rPr>
          <w:t>Nordstrom 401(k) Plan (2019 Restatement)</w:t>
        </w:r>
      </w:hyperlink>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Incorporated by reference from the Registrant’s Form S-8 filed on June 10, 2020, Exhibit 4.1</w:t>
      </w:r>
    </w:p>
    <w:p>
      <w:pPr>
        <w:spacing w:after="0" w:line="200" w:lineRule="exact"/>
        <w:rPr>
          <w:sz w:val="20"/>
          <w:szCs w:val="20"/>
          <w:color w:val="auto"/>
        </w:rPr>
      </w:pPr>
    </w:p>
    <w:p>
      <w:pPr>
        <w:sectPr>
          <w:pgSz w:w="11900" w:h="16838" w:orient="portrait"/>
          <w:cols w:equalWidth="0" w:num="2">
            <w:col w:w="5600" w:space="540"/>
            <w:col w:w="4940"/>
          </w:cols>
          <w:pgMar w:left="340" w:top="913" w:right="47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80"/>
          </w:cols>
          <w:pgMar w:left="340" w:top="913" w:right="479" w:bottom="1440" w:gutter="0" w:footer="0" w:header="0"/>
          <w:type w:val="continuous"/>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administrators of the employee benefit plan have duly caused this annual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Nordstrom 401(k) Plan</w:t>
      </w:r>
    </w:p>
    <w:p>
      <w:pPr>
        <w:spacing w:after="0" w:line="320"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/s/ Anne L. Bramman</w:t>
      </w:r>
    </w:p>
    <w:p>
      <w:pPr>
        <w:spacing w:after="0" w:line="5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Anne L. Bramman</w:t>
      </w:r>
    </w:p>
    <w:p>
      <w:pPr>
        <w:spacing w:after="0" w:line="5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Nordstrom,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20"/>
        <w:spacing w:after="0"/>
        <w:tabs>
          <w:tab w:leader="none" w:pos="5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927"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8"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 No. 333-239083 on Form S-8 of Nordstrom, Inc., of our report dated July 24, 2020, relating to the statements of net assets available for benefits of the Nordstrom 401(k) Plan as of December 31, 2019 and 2018, the related statement of changes in net assets available for benefits for the year ended December 31, 2019, and the related supplementary information as of December 31, 2019, appearing in this Annual Report on Form 11-K of the Nordstrom 401(k) Plan for the year ended December 31, 2019.</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Moss Adams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i w:val="1"/>
          <w:iCs w:val="1"/>
          <w:color w:val="auto"/>
        </w:rPr>
        <w:t>Nordstrom 401(k) Plan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Employer ID No: 91-0515058</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Plan Number: 001</w:t>
      </w:r>
    </w:p>
    <w:p>
      <w:pPr>
        <w:spacing w:after="0" w:line="328" w:lineRule="exact"/>
        <w:rPr>
          <w:sz w:val="20"/>
          <w:szCs w:val="20"/>
          <w:color w:val="auto"/>
        </w:rPr>
      </w:pPr>
    </w:p>
    <w:p>
      <w:pPr>
        <w:ind w:right="5280"/>
        <w:spacing w:after="0" w:line="329" w:lineRule="auto"/>
        <w:rPr>
          <w:sz w:val="20"/>
          <w:szCs w:val="20"/>
          <w:color w:val="auto"/>
        </w:rPr>
      </w:pPr>
      <w:r>
        <w:rPr>
          <w:rFonts w:ascii="Arial" w:cs="Arial" w:eastAsia="Arial" w:hAnsi="Arial"/>
          <w:sz w:val="22"/>
          <w:szCs w:val="22"/>
          <w:i w:val="1"/>
          <w:iCs w:val="1"/>
          <w:color w:val="auto"/>
        </w:rPr>
        <w:t>Report of Independent Registered Public Accounting Firm and Financial Statements as of December 31, 2019 and 2018 and for the Year Ended December 31, 2019, with Supplementary Information</w:t>
      </w:r>
    </w:p>
    <w:p>
      <w:pPr>
        <w:sectPr>
          <w:pgSz w:w="11900" w:h="16838" w:orient="portrait"/>
          <w:cols w:equalWidth="0" w:num="1">
            <w:col w:w="11240"/>
          </w:cols>
          <w:pgMar w:left="320" w:top="111"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PLAN YEAR ENDED DECEMBER 31, 2019</w:t>
      </w: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ind w:left="1200"/>
              <w:spacing w:after="0"/>
              <w:rPr>
                <w:sz w:val="20"/>
                <w:szCs w:val="20"/>
                <w:color w:val="auto"/>
              </w:rPr>
            </w:pPr>
            <w:r>
              <w:rPr>
                <w:rFonts w:ascii="Arial" w:cs="Arial" w:eastAsia="Arial" w:hAnsi="Arial"/>
                <w:sz w:val="18"/>
                <w:szCs w:val="18"/>
                <w:b w:val="1"/>
                <w:bCs w:val="1"/>
                <w:color w:val="auto"/>
                <w:w w:val="97"/>
              </w:rPr>
              <w:t>Page</w:t>
            </w:r>
          </w:p>
        </w:tc>
      </w:tr>
      <w:tr>
        <w:trPr>
          <w:trHeight w:val="243"/>
        </w:trPr>
        <w:tc>
          <w:tcPr>
            <w:tcW w:w="9480" w:type="dxa"/>
            <w:vAlign w:val="bottom"/>
            <w:gridSpan w:val="3"/>
          </w:tcPr>
          <w:p>
            <w:pPr>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DEFINITIONS</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3</w:t>
              </w:r>
            </w:hyperlink>
          </w:p>
        </w:tc>
      </w:tr>
      <w:tr>
        <w:trPr>
          <w:trHeight w:val="283"/>
        </w:trPr>
        <w:tc>
          <w:tcPr>
            <w:tcW w:w="9480" w:type="dxa"/>
            <w:vAlign w:val="bottom"/>
            <w:gridSpan w:val="3"/>
          </w:tcPr>
          <w:p>
            <w:pPr>
              <w:spacing w:after="0"/>
              <w:rPr>
                <w:rFonts w:ascii="Arial" w:cs="Arial" w:eastAsia="Arial" w:hAnsi="Arial"/>
                <w:sz w:val="18"/>
                <w:szCs w:val="18"/>
                <w:b w:val="1"/>
                <w:bCs w:val="1"/>
                <w:u w:val="single" w:color="auto"/>
                <w:color w:val="0000FF"/>
              </w:rPr>
            </w:pPr>
            <w:hyperlink w:anchor="page8">
              <w:r>
                <w:rPr>
                  <w:rFonts w:ascii="Arial" w:cs="Arial" w:eastAsia="Arial" w:hAnsi="Arial"/>
                  <w:sz w:val="18"/>
                  <w:szCs w:val="18"/>
                  <w:b w:val="1"/>
                  <w:bCs w:val="1"/>
                  <w:u w:val="single" w:color="auto"/>
                  <w:color w:val="0000FF"/>
                </w:rPr>
                <w:t>REPORT OF INDEPENDENT REGISTERED PUBLIC ACCOUNTING FIRM</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4</w:t>
              </w:r>
            </w:hyperlink>
          </w:p>
        </w:tc>
      </w:tr>
      <w:tr>
        <w:trPr>
          <w:trHeight w:val="297"/>
        </w:trPr>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w:t>
            </w:r>
          </w:p>
        </w:tc>
        <w:tc>
          <w:tcPr>
            <w:tcW w:w="1640" w:type="dxa"/>
            <w:vAlign w:val="bottom"/>
          </w:tcPr>
          <w:p>
            <w:pPr>
              <w:spacing w:after="0"/>
              <w:rPr>
                <w:sz w:val="24"/>
                <w:szCs w:val="24"/>
                <w:color w:val="auto"/>
              </w:rPr>
            </w:pPr>
          </w:p>
        </w:tc>
      </w:tr>
      <w:tr>
        <w:trPr>
          <w:trHeight w:val="203"/>
        </w:trPr>
        <w:tc>
          <w:tcPr>
            <w:tcW w:w="9480" w:type="dxa"/>
            <w:vAlign w:val="bottom"/>
            <w:gridSpan w:val="3"/>
          </w:tcPr>
          <w:p>
            <w:pPr>
              <w:ind w:left="500"/>
              <w:spacing w:after="0" w:line="202" w:lineRule="exact"/>
              <w:rPr>
                <w:rFonts w:ascii="Arial" w:cs="Arial" w:eastAsia="Arial" w:hAnsi="Arial"/>
                <w:sz w:val="18"/>
                <w:szCs w:val="18"/>
                <w:color w:val="0000FF"/>
              </w:rPr>
            </w:pPr>
            <w:hyperlink w:anchor="page9">
              <w:r>
                <w:rPr>
                  <w:rFonts w:ascii="Arial" w:cs="Arial" w:eastAsia="Arial" w:hAnsi="Arial"/>
                  <w:sz w:val="18"/>
                  <w:szCs w:val="18"/>
                  <w:u w:val="single" w:color="auto"/>
                  <w:color w:val="0000FF"/>
                </w:rPr>
                <w:t>Statements of Net Assets Available for Benefits as of December 31,</w:t>
              </w:r>
              <w:r>
                <w:rPr>
                  <w:rFonts w:ascii="Arial" w:cs="Arial" w:eastAsia="Arial" w:hAnsi="Arial"/>
                  <w:sz w:val="18"/>
                  <w:szCs w:val="18"/>
                  <w:color w:val="0000FF"/>
                </w:rPr>
                <w:t xml:space="preserve"> 2019 and 2018</w:t>
              </w:r>
            </w:hyperlink>
          </w:p>
        </w:tc>
        <w:tc>
          <w:tcPr>
            <w:tcW w:w="1640" w:type="dxa"/>
            <w:vAlign w:val="bottom"/>
          </w:tcPr>
          <w:p>
            <w:pPr>
              <w:jc w:val="center"/>
              <w:ind w:left="1090"/>
              <w:spacing w:after="0" w:line="202" w:lineRule="exact"/>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5</w:t>
              </w:r>
            </w:hyperlink>
          </w:p>
        </w:tc>
      </w:tr>
      <w:tr>
        <w:trPr>
          <w:trHeight w:val="20"/>
        </w:trPr>
        <w:tc>
          <w:tcPr>
            <w:tcW w:w="62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480" w:type="dxa"/>
            <w:vAlign w:val="bottom"/>
            <w:gridSpan w:val="3"/>
          </w:tcPr>
          <w:p>
            <w:pPr>
              <w:ind w:left="50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Statement of Changes in Net Assets Available for Benefits for the year ended December 31, 2019</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6</w:t>
              </w:r>
            </w:hyperlink>
          </w:p>
        </w:tc>
      </w:tr>
      <w:tr>
        <w:trPr>
          <w:trHeight w:val="297"/>
        </w:trPr>
        <w:tc>
          <w:tcPr>
            <w:tcW w:w="9480" w:type="dxa"/>
            <w:vAlign w:val="bottom"/>
            <w:gridSpan w:val="3"/>
          </w:tcPr>
          <w:p>
            <w:pPr>
              <w:ind w:left="500"/>
              <w:spacing w:after="0"/>
              <w:rPr>
                <w:sz w:val="20"/>
                <w:szCs w:val="20"/>
                <w:color w:val="auto"/>
              </w:rPr>
            </w:pPr>
            <w:r>
              <w:rPr>
                <w:rFonts w:ascii="Arial" w:cs="Arial" w:eastAsia="Arial" w:hAnsi="Arial"/>
                <w:sz w:val="18"/>
                <w:szCs w:val="18"/>
                <w:color w:val="auto"/>
              </w:rPr>
              <w:t>Notes to Financial Statements</w:t>
            </w:r>
          </w:p>
        </w:tc>
        <w:tc>
          <w:tcPr>
            <w:tcW w:w="1640" w:type="dxa"/>
            <w:vAlign w:val="bottom"/>
          </w:tcPr>
          <w:p>
            <w:pPr>
              <w:spacing w:after="0"/>
              <w:rPr>
                <w:sz w:val="24"/>
                <w:szCs w:val="24"/>
                <w:color w:val="auto"/>
              </w:rPr>
            </w:pPr>
          </w:p>
        </w:tc>
      </w:tr>
      <w:tr>
        <w:trPr>
          <w:trHeight w:val="297"/>
        </w:trPr>
        <w:tc>
          <w:tcPr>
            <w:tcW w:w="9480" w:type="dxa"/>
            <w:vAlign w:val="bottom"/>
            <w:gridSpan w:val="3"/>
          </w:tcPr>
          <w:p>
            <w:pPr>
              <w:ind w:left="8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 1: Description of the Plan</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7</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 2: Summary of Significant Accounting Policies</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13">
              <w:r>
                <w:rPr>
                  <w:rFonts w:ascii="Arial" w:cs="Arial" w:eastAsia="Arial" w:hAnsi="Arial"/>
                  <w:sz w:val="18"/>
                  <w:szCs w:val="18"/>
                  <w:u w:val="single" w:color="auto"/>
                  <w:color w:val="0000FF"/>
                  <w:w w:val="99"/>
                </w:rPr>
                <w:t>8</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Note 3: Fair Value Measurements</w:t>
              </w:r>
            </w:hyperlink>
          </w:p>
        </w:tc>
        <w:tc>
          <w:tcPr>
            <w:tcW w:w="1640" w:type="dxa"/>
            <w:vAlign w:val="bottom"/>
          </w:tcPr>
          <w:p>
            <w:pPr>
              <w:jc w:val="center"/>
              <w:ind w:left="1090"/>
              <w:spacing w:after="0"/>
              <w:rPr>
                <w:rFonts w:ascii="Arial" w:cs="Arial" w:eastAsia="Arial" w:hAnsi="Arial"/>
                <w:sz w:val="18"/>
                <w:szCs w:val="18"/>
                <w:u w:val="single" w:color="auto"/>
                <w:color w:val="0000FF"/>
                <w:w w:val="99"/>
              </w:rPr>
            </w:pPr>
            <w:hyperlink w:anchor="page14">
              <w:r>
                <w:rPr>
                  <w:rFonts w:ascii="Arial" w:cs="Arial" w:eastAsia="Arial" w:hAnsi="Arial"/>
                  <w:sz w:val="18"/>
                  <w:szCs w:val="18"/>
                  <w:u w:val="single" w:color="auto"/>
                  <w:color w:val="0000FF"/>
                  <w:w w:val="99"/>
                </w:rPr>
                <w:t>9</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4: Party-in-Interest Transactions</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5">
              <w:r>
                <w:rPr>
                  <w:rFonts w:ascii="Arial" w:cs="Arial" w:eastAsia="Arial" w:hAnsi="Arial"/>
                  <w:sz w:val="18"/>
                  <w:szCs w:val="18"/>
                  <w:u w:val="single" w:color="auto"/>
                  <w:color w:val="0000FF"/>
                  <w:w w:val="99"/>
                </w:rPr>
                <w:t>10</w:t>
              </w:r>
            </w:hyperlink>
          </w:p>
        </w:tc>
      </w:tr>
      <w:tr>
        <w:trPr>
          <w:trHeight w:val="284"/>
        </w:trPr>
        <w:tc>
          <w:tcPr>
            <w:tcW w:w="9480" w:type="dxa"/>
            <w:vAlign w:val="bottom"/>
            <w:gridSpan w:val="3"/>
          </w:tcPr>
          <w:p>
            <w:pPr>
              <w:ind w:left="8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5: Federal Income Tax Status</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11</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6: Plan Termination</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11</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7: Excess Contributions Payable to Participants</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11</w:t>
              </w:r>
            </w:hyperlink>
          </w:p>
        </w:tc>
      </w:tr>
      <w:tr>
        <w:trPr>
          <w:trHeight w:val="283"/>
        </w:trPr>
        <w:tc>
          <w:tcPr>
            <w:tcW w:w="9480" w:type="dxa"/>
            <w:vAlign w:val="bottom"/>
            <w:gridSpan w:val="3"/>
          </w:tcPr>
          <w:p>
            <w:pPr>
              <w:ind w:left="8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8: Reconciliation of Financial Statements to Form 5500</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11</w:t>
              </w:r>
            </w:hyperlink>
          </w:p>
        </w:tc>
      </w:tr>
      <w:tr>
        <w:trPr>
          <w:trHeight w:val="297"/>
        </w:trPr>
        <w:tc>
          <w:tcPr>
            <w:tcW w:w="9480" w:type="dxa"/>
            <w:vAlign w:val="bottom"/>
            <w:gridSpan w:val="3"/>
          </w:tcPr>
          <w:p>
            <w:pPr>
              <w:spacing w:after="0"/>
              <w:rPr>
                <w:sz w:val="20"/>
                <w:szCs w:val="20"/>
                <w:color w:val="auto"/>
              </w:rPr>
            </w:pPr>
            <w:r>
              <w:rPr>
                <w:rFonts w:ascii="Arial" w:cs="Arial" w:eastAsia="Arial" w:hAnsi="Arial"/>
                <w:sz w:val="18"/>
                <w:szCs w:val="18"/>
                <w:b w:val="1"/>
                <w:bCs w:val="1"/>
                <w:color w:val="auto"/>
              </w:rPr>
              <w:t>SUPPLEMENTARY INFORMATION</w:t>
            </w:r>
          </w:p>
        </w:tc>
        <w:tc>
          <w:tcPr>
            <w:tcW w:w="1640" w:type="dxa"/>
            <w:vAlign w:val="bottom"/>
          </w:tcPr>
          <w:p>
            <w:pPr>
              <w:spacing w:after="0"/>
              <w:rPr>
                <w:sz w:val="24"/>
                <w:szCs w:val="24"/>
                <w:color w:val="auto"/>
              </w:rPr>
            </w:pPr>
          </w:p>
        </w:tc>
      </w:tr>
      <w:tr>
        <w:trPr>
          <w:trHeight w:val="243"/>
        </w:trPr>
        <w:tc>
          <w:tcPr>
            <w:tcW w:w="9480" w:type="dxa"/>
            <w:vAlign w:val="bottom"/>
            <w:gridSpan w:val="3"/>
          </w:tcPr>
          <w:p>
            <w:pPr>
              <w:ind w:left="50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Schedule H, Line 4(i) — Schedule of Assets (Held at End of Year) as of December 31, 2019</w:t>
              </w:r>
            </w:hyperlink>
          </w:p>
        </w:tc>
        <w:tc>
          <w:tcPr>
            <w:tcW w:w="1640" w:type="dxa"/>
            <w:vAlign w:val="bottom"/>
          </w:tcPr>
          <w:p>
            <w:pPr>
              <w:jc w:val="center"/>
              <w:ind w:left="111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12</w:t>
              </w:r>
            </w:hyperlink>
          </w:p>
        </w:tc>
      </w:tr>
    </w:tbl>
    <w:p>
      <w:pPr>
        <w:spacing w:after="0" w:line="16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of 20</w:t>
      </w:r>
    </w:p>
    <w:p>
      <w:pPr>
        <w:sectPr>
          <w:pgSz w:w="11900" w:h="16838" w:orient="portrait"/>
          <w:cols w:equalWidth="0" w:num="1">
            <w:col w:w="11220"/>
          </w:cols>
          <w:pgMar w:left="320" w:top="126"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c>
          <w:tcPr>
            <w:tcW w:w="94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Definition</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BNY Mellon</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Bank of New York Mellon</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Board</w:t>
            </w:r>
          </w:p>
        </w:tc>
        <w:tc>
          <w:tcPr>
            <w:tcW w:w="9420" w:type="dxa"/>
            <w:vAlign w:val="bottom"/>
          </w:tcPr>
          <w:p>
            <w:pPr>
              <w:ind w:left="460"/>
              <w:spacing w:after="0"/>
              <w:rPr>
                <w:sz w:val="20"/>
                <w:szCs w:val="20"/>
                <w:color w:val="auto"/>
              </w:rPr>
            </w:pPr>
            <w:r>
              <w:rPr>
                <w:rFonts w:ascii="Arial" w:cs="Arial" w:eastAsia="Arial" w:hAnsi="Arial"/>
                <w:sz w:val="16"/>
                <w:szCs w:val="16"/>
                <w:color w:val="auto"/>
              </w:rPr>
              <w:t>Nordstrom, Inc.’s Board of Directors</w:t>
            </w:r>
          </w:p>
        </w:tc>
      </w:tr>
      <w:tr>
        <w:trPr>
          <w:trHeight w:val="25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Nordstrom, Inc. and its participating subsidiaries</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CCT</w:t>
            </w:r>
          </w:p>
        </w:tc>
        <w:tc>
          <w:tcPr>
            <w:tcW w:w="9420" w:type="dxa"/>
            <w:vAlign w:val="bottom"/>
          </w:tcPr>
          <w:p>
            <w:pPr>
              <w:ind w:left="460"/>
              <w:spacing w:after="0"/>
              <w:rPr>
                <w:sz w:val="20"/>
                <w:szCs w:val="20"/>
                <w:color w:val="auto"/>
              </w:rPr>
            </w:pPr>
            <w:r>
              <w:rPr>
                <w:rFonts w:ascii="Arial" w:cs="Arial" w:eastAsia="Arial" w:hAnsi="Arial"/>
                <w:sz w:val="16"/>
                <w:szCs w:val="16"/>
                <w:color w:val="auto"/>
              </w:rPr>
              <w:t>Common/collective trust</w:t>
            </w:r>
          </w:p>
        </w:tc>
      </w:tr>
      <w:tr>
        <w:trPr>
          <w:trHeight w:val="25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DOL</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Department of Labor</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ERISA</w:t>
            </w:r>
          </w:p>
        </w:tc>
        <w:tc>
          <w:tcPr>
            <w:tcW w:w="9420" w:type="dxa"/>
            <w:vAlign w:val="bottom"/>
          </w:tcPr>
          <w:p>
            <w:pPr>
              <w:ind w:left="460"/>
              <w:spacing w:after="0"/>
              <w:rPr>
                <w:sz w:val="20"/>
                <w:szCs w:val="20"/>
                <w:color w:val="auto"/>
              </w:rPr>
            </w:pPr>
            <w:r>
              <w:rPr>
                <w:rFonts w:ascii="Arial" w:cs="Arial" w:eastAsia="Arial" w:hAnsi="Arial"/>
                <w:sz w:val="16"/>
                <w:szCs w:val="16"/>
                <w:color w:val="auto"/>
              </w:rPr>
              <w:t>Employee Retirement Income Security Act of 1974</w:t>
            </w:r>
          </w:p>
        </w:tc>
      </w:tr>
      <w:tr>
        <w:trPr>
          <w:trHeight w:val="25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Generally accepted accounting principles</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IRA</w:t>
            </w:r>
          </w:p>
        </w:tc>
        <w:tc>
          <w:tcPr>
            <w:tcW w:w="9420" w:type="dxa"/>
            <w:vAlign w:val="bottom"/>
          </w:tcPr>
          <w:p>
            <w:pPr>
              <w:ind w:left="460"/>
              <w:spacing w:after="0"/>
              <w:rPr>
                <w:sz w:val="20"/>
                <w:szCs w:val="20"/>
                <w:color w:val="auto"/>
              </w:rPr>
            </w:pPr>
            <w:r>
              <w:rPr>
                <w:rFonts w:ascii="Arial" w:cs="Arial" w:eastAsia="Arial" w:hAnsi="Arial"/>
                <w:sz w:val="16"/>
                <w:szCs w:val="16"/>
                <w:color w:val="auto"/>
              </w:rPr>
              <w:t>Individual Retirement Account</w:t>
            </w:r>
          </w:p>
        </w:tc>
      </w:tr>
      <w:tr>
        <w:trPr>
          <w:trHeight w:val="25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IRC</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Internal Revenue Code</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IRS</w:t>
            </w:r>
          </w:p>
        </w:tc>
        <w:tc>
          <w:tcPr>
            <w:tcW w:w="9420" w:type="dxa"/>
            <w:vAlign w:val="bottom"/>
          </w:tcPr>
          <w:p>
            <w:pPr>
              <w:ind w:left="460"/>
              <w:spacing w:after="0"/>
              <w:rPr>
                <w:sz w:val="20"/>
                <w:szCs w:val="20"/>
                <w:color w:val="auto"/>
              </w:rPr>
            </w:pPr>
            <w:r>
              <w:rPr>
                <w:rFonts w:ascii="Arial" w:cs="Arial" w:eastAsia="Arial" w:hAnsi="Arial"/>
                <w:sz w:val="16"/>
                <w:szCs w:val="16"/>
                <w:color w:val="auto"/>
              </w:rPr>
              <w:t>Internal Revenue Service</w:t>
            </w:r>
          </w:p>
        </w:tc>
      </w:tr>
      <w:tr>
        <w:trPr>
          <w:trHeight w:val="25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NAV</w:t>
            </w:r>
          </w:p>
        </w:tc>
        <w:tc>
          <w:tcPr>
            <w:tcW w:w="9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asset value</w:t>
            </w:r>
          </w:p>
        </w:tc>
      </w:tr>
      <w:tr>
        <w:trPr>
          <w:trHeight w:val="233"/>
        </w:trPr>
        <w:tc>
          <w:tcPr>
            <w:tcW w:w="1820" w:type="dxa"/>
            <w:vAlign w:val="bottom"/>
          </w:tcPr>
          <w:p>
            <w:pPr>
              <w:ind w:left="20"/>
              <w:spacing w:after="0"/>
              <w:rPr>
                <w:sz w:val="20"/>
                <w:szCs w:val="20"/>
                <w:color w:val="auto"/>
              </w:rPr>
            </w:pPr>
            <w:r>
              <w:rPr>
                <w:rFonts w:ascii="Arial" w:cs="Arial" w:eastAsia="Arial" w:hAnsi="Arial"/>
                <w:sz w:val="16"/>
                <w:szCs w:val="16"/>
                <w:color w:val="auto"/>
              </w:rPr>
              <w:t>Plan</w:t>
            </w:r>
          </w:p>
        </w:tc>
        <w:tc>
          <w:tcPr>
            <w:tcW w:w="9420" w:type="dxa"/>
            <w:vAlign w:val="bottom"/>
          </w:tcPr>
          <w:p>
            <w:pPr>
              <w:ind w:left="460"/>
              <w:spacing w:after="0"/>
              <w:rPr>
                <w:sz w:val="20"/>
                <w:szCs w:val="20"/>
                <w:color w:val="auto"/>
              </w:rPr>
            </w:pPr>
            <w:r>
              <w:rPr>
                <w:rFonts w:ascii="Arial" w:cs="Arial" w:eastAsia="Arial" w:hAnsi="Arial"/>
                <w:sz w:val="16"/>
                <w:szCs w:val="16"/>
                <w:color w:val="auto"/>
              </w:rPr>
              <w:t>Nordstrom 401(k) Plan</w:t>
            </w:r>
          </w:p>
        </w:tc>
      </w:tr>
      <w:tr>
        <w:trPr>
          <w:trHeight w:val="246"/>
        </w:trPr>
        <w:tc>
          <w:tcPr>
            <w:tcW w:w="1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Plan Administrator</w:t>
            </w:r>
          </w:p>
        </w:tc>
        <w:tc>
          <w:tcPr>
            <w:tcW w:w="94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Nordstrom Retirement Committee</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20</w:t>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To the Retirement Committee, Plan Administrator and Participants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Nordstrom 401(k) Plan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audited the accompanying statements of net assets available for benefits of the Nordstrom 401(k) Plan (the “Plan”) as of December 31, 2019 and 2018, the related statement of changes in net assets available for benefits for the year ended December 31, 2019,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 ended December 31, 2019, in conformity with accounting principles generally accepted in the United States of America.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3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Supplementary Information</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supplementary information included in Schedule H, line 4(i) – schedule of assets (held at end of year) as of December 31, 2019, has been subjected to audit procedures performed in conjunction with the audit of the Plan’s financial statements. The supplementary information is the responsibility of the Plan’s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in the accompanying schedule, we evaluated whether the supplementary information, including its form and content, is presented in conformity with DOL’s Rules and Regulations for Reporting and Disclosure under ERISA. In our opinion, the supplementary information in the accompanying schedule is fairly stated, in all material respects, in relation to the financial statements as a whole.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Moss Adams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2016.</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 of 20</w:t>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NET ASSETS AVAILABLE FOR BENEFITS</w:t>
      </w:r>
    </w:p>
    <w:p>
      <w:pPr>
        <w:jc w:val="center"/>
        <w:spacing w:after="0"/>
        <w:rPr>
          <w:sz w:val="20"/>
          <w:szCs w:val="20"/>
          <w:color w:val="auto"/>
        </w:rPr>
      </w:pPr>
      <w:r>
        <w:rPr>
          <w:rFonts w:ascii="Arial" w:cs="Arial" w:eastAsia="Arial" w:hAnsi="Arial"/>
          <w:sz w:val="18"/>
          <w:szCs w:val="18"/>
          <w:color w:val="auto"/>
        </w:rPr>
        <w:t>(Amounts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9"/>
                <w:szCs w:val="19"/>
                <w:color w:val="auto"/>
              </w:rPr>
            </w:pPr>
          </w:p>
        </w:tc>
      </w:tr>
      <w:tr>
        <w:trPr>
          <w:trHeight w:val="237"/>
        </w:trPr>
        <w:tc>
          <w:tcPr>
            <w:tcW w:w="76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2019</w:t>
            </w: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Participant-directed investments at fair value (see Note 3: Fair Value Measurements)</w:t>
            </w: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$3,513,264</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$2,955,132</w:t>
            </w:r>
          </w:p>
        </w:tc>
      </w:tr>
      <w:tr>
        <w:trPr>
          <w:trHeight w:val="253"/>
        </w:trPr>
        <w:tc>
          <w:tcPr>
            <w:tcW w:w="7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Company contributions receivable</w:t>
            </w:r>
          </w:p>
        </w:tc>
        <w:tc>
          <w:tcPr>
            <w:tcW w:w="24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84,512</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98,294</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97,287</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95,368</w:t>
            </w:r>
          </w:p>
        </w:tc>
      </w:tr>
      <w:tr>
        <w:trPr>
          <w:trHeight w:val="246"/>
        </w:trPr>
        <w:tc>
          <w:tcPr>
            <w:tcW w:w="7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Accrued income and broker receivable</w:t>
            </w:r>
          </w:p>
        </w:tc>
        <w:tc>
          <w:tcPr>
            <w:tcW w:w="24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26,661</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3,183</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3,721,724</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3,151,977</w:t>
            </w:r>
          </w:p>
        </w:tc>
      </w:tr>
      <w:tr>
        <w:trPr>
          <w:trHeight w:val="266"/>
        </w:trPr>
        <w:tc>
          <w:tcPr>
            <w:tcW w:w="764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7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Administrative expenses and other payables</w:t>
            </w:r>
          </w:p>
        </w:tc>
        <w:tc>
          <w:tcPr>
            <w:tcW w:w="24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1,735</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971</w:t>
            </w:r>
          </w:p>
        </w:tc>
      </w:tr>
      <w:tr>
        <w:trPr>
          <w:trHeight w:val="233"/>
        </w:trPr>
        <w:tc>
          <w:tcPr>
            <w:tcW w:w="7640" w:type="dxa"/>
            <w:vAlign w:val="bottom"/>
          </w:tcPr>
          <w:p>
            <w:pPr>
              <w:ind w:left="120"/>
              <w:spacing w:after="0"/>
              <w:rPr>
                <w:sz w:val="20"/>
                <w:szCs w:val="20"/>
                <w:color w:val="auto"/>
              </w:rPr>
            </w:pPr>
            <w:r>
              <w:rPr>
                <w:rFonts w:ascii="Arial" w:cs="Arial" w:eastAsia="Arial" w:hAnsi="Arial"/>
                <w:sz w:val="16"/>
                <w:szCs w:val="16"/>
                <w:color w:val="auto"/>
              </w:rPr>
              <w:t>Excess contributions payable to participants</w:t>
            </w: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2,988</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2,074</w:t>
            </w:r>
          </w:p>
        </w:tc>
      </w:tr>
      <w:tr>
        <w:trPr>
          <w:trHeight w:val="246"/>
        </w:trPr>
        <w:tc>
          <w:tcPr>
            <w:tcW w:w="7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Due to broker for securities purchased</w:t>
            </w:r>
          </w:p>
        </w:tc>
        <w:tc>
          <w:tcPr>
            <w:tcW w:w="24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14,128</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673</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18,851</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3,718</w:t>
            </w:r>
          </w:p>
        </w:tc>
      </w:tr>
      <w:tr>
        <w:trPr>
          <w:trHeight w:val="266"/>
        </w:trPr>
        <w:tc>
          <w:tcPr>
            <w:tcW w:w="7640" w:type="dxa"/>
            <w:vAlign w:val="bottom"/>
            <w:tcBorders>
              <w:bottom w:val="single" w:sz="8" w:color="auto"/>
            </w:tcBorders>
            <w:shd w:val="clear" w:color="auto" w:fill="CCEEFF"/>
          </w:tcPr>
          <w:p>
            <w:pPr>
              <w:spacing w:after="0"/>
              <w:rPr>
                <w:sz w:val="23"/>
                <w:szCs w:val="23"/>
                <w:color w:val="auto"/>
              </w:rPr>
            </w:pPr>
          </w:p>
        </w:tc>
        <w:tc>
          <w:tcPr>
            <w:tcW w:w="24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24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$3,702,873</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$3,148,259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20</w:t>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CHANGES IN NET ASSETS AVAILABLE FOR BENEFITS</w:t>
      </w:r>
    </w:p>
    <w:p>
      <w:pPr>
        <w:jc w:val="center"/>
        <w:spacing w:after="0"/>
        <w:rPr>
          <w:sz w:val="20"/>
          <w:szCs w:val="20"/>
          <w:color w:val="auto"/>
        </w:rPr>
      </w:pPr>
      <w:r>
        <w:rPr>
          <w:rFonts w:ascii="Arial" w:cs="Arial" w:eastAsia="Arial" w:hAnsi="Arial"/>
          <w:sz w:val="18"/>
          <w:szCs w:val="18"/>
          <w:color w:val="auto"/>
        </w:rPr>
        <w:t>(Amounts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 year ended</w:t>
            </w:r>
          </w:p>
        </w:tc>
        <w:tc>
          <w:tcPr>
            <w:tcW w:w="4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2019</w:t>
            </w: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Additions</w:t>
            </w:r>
          </w:p>
        </w:tc>
        <w:tc>
          <w:tcPr>
            <w:tcW w:w="4520" w:type="dxa"/>
            <w:vAlign w:val="bottom"/>
            <w:shd w:val="clear" w:color="auto" w:fill="CCEEFF"/>
          </w:tcPr>
          <w:p>
            <w:pPr>
              <w:spacing w:after="0"/>
              <w:rPr>
                <w:sz w:val="21"/>
                <w:szCs w:val="21"/>
                <w:color w:val="auto"/>
              </w:rPr>
            </w:pPr>
          </w:p>
        </w:tc>
      </w:tr>
      <w:tr>
        <w:trPr>
          <w:trHeight w:val="233"/>
        </w:trPr>
        <w:tc>
          <w:tcPr>
            <w:tcW w:w="6720" w:type="dxa"/>
            <w:vAlign w:val="bottom"/>
          </w:tcPr>
          <w:p>
            <w:pPr>
              <w:ind w:left="120"/>
              <w:spacing w:after="0"/>
              <w:rPr>
                <w:sz w:val="20"/>
                <w:szCs w:val="20"/>
                <w:color w:val="auto"/>
              </w:rPr>
            </w:pPr>
            <w:r>
              <w:rPr>
                <w:rFonts w:ascii="Arial" w:cs="Arial" w:eastAsia="Arial" w:hAnsi="Arial"/>
                <w:sz w:val="16"/>
                <w:szCs w:val="16"/>
                <w:color w:val="auto"/>
              </w:rPr>
              <w:t>Contributions</w:t>
            </w:r>
          </w:p>
        </w:tc>
        <w:tc>
          <w:tcPr>
            <w:tcW w:w="4520" w:type="dxa"/>
            <w:vAlign w:val="bottom"/>
          </w:tcPr>
          <w:p>
            <w:pPr>
              <w:spacing w:after="0"/>
              <w:rPr>
                <w:sz w:val="20"/>
                <w:szCs w:val="20"/>
                <w:color w:val="auto"/>
              </w:rPr>
            </w:pPr>
          </w:p>
        </w:tc>
      </w:tr>
      <w:tr>
        <w:trPr>
          <w:trHeight w:val="253"/>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Company contributions</w:t>
            </w:r>
          </w:p>
        </w:tc>
        <w:tc>
          <w:tcPr>
            <w:tcW w:w="4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$84,512</w:t>
            </w:r>
          </w:p>
        </w:tc>
      </w:tr>
      <w:tr>
        <w:trPr>
          <w:trHeight w:val="236"/>
        </w:trPr>
        <w:tc>
          <w:tcPr>
            <w:tcW w:w="6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Employee contributions</w:t>
            </w:r>
          </w:p>
        </w:tc>
        <w:tc>
          <w:tcPr>
            <w:tcW w:w="4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143,438</w:t>
            </w:r>
          </w:p>
        </w:tc>
      </w:tr>
      <w:tr>
        <w:trPr>
          <w:trHeight w:val="243"/>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contributions</w:t>
            </w:r>
          </w:p>
        </w:tc>
        <w:tc>
          <w:tcPr>
            <w:tcW w:w="4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227,950</w:t>
            </w:r>
          </w:p>
        </w:tc>
      </w:tr>
      <w:tr>
        <w:trPr>
          <w:trHeight w:val="257"/>
        </w:trPr>
        <w:tc>
          <w:tcPr>
            <w:tcW w:w="6720" w:type="dxa"/>
            <w:vAlign w:val="bottom"/>
          </w:tcPr>
          <w:p>
            <w:pPr>
              <w:spacing w:after="0"/>
              <w:rPr>
                <w:sz w:val="22"/>
                <w:szCs w:val="22"/>
                <w:color w:val="auto"/>
              </w:rPr>
            </w:pPr>
          </w:p>
        </w:tc>
        <w:tc>
          <w:tcPr>
            <w:tcW w:w="4520" w:type="dxa"/>
            <w:vAlign w:val="bottom"/>
          </w:tcPr>
          <w:p>
            <w:pPr>
              <w:spacing w:after="0"/>
              <w:rPr>
                <w:sz w:val="22"/>
                <w:szCs w:val="22"/>
                <w:color w:val="auto"/>
              </w:rPr>
            </w:pPr>
          </w:p>
        </w:tc>
      </w:tr>
      <w:tr>
        <w:trPr>
          <w:trHeight w:val="243"/>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income</w:t>
            </w:r>
          </w:p>
        </w:tc>
        <w:tc>
          <w:tcPr>
            <w:tcW w:w="4520" w:type="dxa"/>
            <w:vAlign w:val="bottom"/>
            <w:shd w:val="clear" w:color="auto" w:fill="CCEEFF"/>
          </w:tcPr>
          <w:p>
            <w:pPr>
              <w:spacing w:after="0"/>
              <w:rPr>
                <w:sz w:val="21"/>
                <w:szCs w:val="21"/>
                <w:color w:val="auto"/>
              </w:rPr>
            </w:pPr>
          </w:p>
        </w:tc>
      </w:tr>
      <w:tr>
        <w:trPr>
          <w:trHeight w:val="233"/>
        </w:trPr>
        <w:tc>
          <w:tcPr>
            <w:tcW w:w="6720" w:type="dxa"/>
            <w:vAlign w:val="bottom"/>
          </w:tcPr>
          <w:p>
            <w:pPr>
              <w:ind w:left="340"/>
              <w:spacing w:after="0"/>
              <w:rPr>
                <w:sz w:val="20"/>
                <w:szCs w:val="20"/>
                <w:color w:val="auto"/>
              </w:rPr>
            </w:pPr>
            <w:r>
              <w:rPr>
                <w:rFonts w:ascii="Arial" w:cs="Arial" w:eastAsia="Arial" w:hAnsi="Arial"/>
                <w:sz w:val="16"/>
                <w:szCs w:val="16"/>
                <w:color w:val="auto"/>
              </w:rPr>
              <w:t>Net appreciation in fair value of investments</w:t>
            </w:r>
          </w:p>
        </w:tc>
        <w:tc>
          <w:tcPr>
            <w:tcW w:w="4520" w:type="dxa"/>
            <w:vAlign w:val="bottom"/>
          </w:tcPr>
          <w:p>
            <w:pPr>
              <w:jc w:val="right"/>
              <w:ind w:right="79"/>
              <w:spacing w:after="0"/>
              <w:rPr>
                <w:sz w:val="20"/>
                <w:szCs w:val="20"/>
                <w:color w:val="auto"/>
              </w:rPr>
            </w:pPr>
            <w:r>
              <w:rPr>
                <w:rFonts w:ascii="Arial" w:cs="Arial" w:eastAsia="Arial" w:hAnsi="Arial"/>
                <w:sz w:val="16"/>
                <w:szCs w:val="16"/>
                <w:b w:val="1"/>
                <w:bCs w:val="1"/>
                <w:color w:val="auto"/>
              </w:rPr>
              <w:t>568,693</w:t>
            </w:r>
          </w:p>
        </w:tc>
      </w:tr>
      <w:tr>
        <w:trPr>
          <w:trHeight w:val="246"/>
        </w:trPr>
        <w:tc>
          <w:tcPr>
            <w:tcW w:w="6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Interest and dividends</w:t>
            </w:r>
          </w:p>
        </w:tc>
        <w:tc>
          <w:tcPr>
            <w:tcW w:w="4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48,785</w:t>
            </w:r>
          </w:p>
        </w:tc>
      </w:tr>
      <w:tr>
        <w:trPr>
          <w:trHeight w:val="233"/>
        </w:trPr>
        <w:tc>
          <w:tcPr>
            <w:tcW w:w="6720" w:type="dxa"/>
            <w:vAlign w:val="bottom"/>
          </w:tcPr>
          <w:p>
            <w:pPr>
              <w:ind w:left="120"/>
              <w:spacing w:after="0"/>
              <w:rPr>
                <w:sz w:val="20"/>
                <w:szCs w:val="20"/>
                <w:color w:val="auto"/>
              </w:rPr>
            </w:pPr>
            <w:r>
              <w:rPr>
                <w:rFonts w:ascii="Arial" w:cs="Arial" w:eastAsia="Arial" w:hAnsi="Arial"/>
                <w:sz w:val="16"/>
                <w:szCs w:val="16"/>
                <w:color w:val="auto"/>
              </w:rPr>
              <w:t>Total investment income</w:t>
            </w:r>
          </w:p>
        </w:tc>
        <w:tc>
          <w:tcPr>
            <w:tcW w:w="4520" w:type="dxa"/>
            <w:vAlign w:val="bottom"/>
          </w:tcPr>
          <w:p>
            <w:pPr>
              <w:jc w:val="right"/>
              <w:ind w:right="79"/>
              <w:spacing w:after="0"/>
              <w:rPr>
                <w:sz w:val="20"/>
                <w:szCs w:val="20"/>
                <w:color w:val="auto"/>
              </w:rPr>
            </w:pPr>
            <w:r>
              <w:rPr>
                <w:rFonts w:ascii="Arial" w:cs="Arial" w:eastAsia="Arial" w:hAnsi="Arial"/>
                <w:sz w:val="16"/>
                <w:szCs w:val="16"/>
                <w:b w:val="1"/>
                <w:bCs w:val="1"/>
                <w:color w:val="auto"/>
              </w:rPr>
              <w:t>617,478</w:t>
            </w:r>
          </w:p>
        </w:tc>
      </w:tr>
      <w:tr>
        <w:trPr>
          <w:trHeight w:val="266"/>
        </w:trPr>
        <w:tc>
          <w:tcPr>
            <w:tcW w:w="6720" w:type="dxa"/>
            <w:vAlign w:val="bottom"/>
            <w:tcBorders>
              <w:bottom w:val="single" w:sz="8" w:color="auto"/>
            </w:tcBorders>
            <w:shd w:val="clear" w:color="auto" w:fill="CCEEFF"/>
          </w:tcPr>
          <w:p>
            <w:pPr>
              <w:spacing w:after="0"/>
              <w:rPr>
                <w:sz w:val="23"/>
                <w:szCs w:val="23"/>
                <w:color w:val="auto"/>
              </w:rPr>
            </w:pPr>
          </w:p>
        </w:tc>
        <w:tc>
          <w:tcPr>
            <w:tcW w:w="4520" w:type="dxa"/>
            <w:vAlign w:val="bottom"/>
            <w:tcBorders>
              <w:bottom w:val="single" w:sz="8" w:color="auto"/>
            </w:tcBorders>
            <w:shd w:val="clear" w:color="auto" w:fill="CCEEFF"/>
          </w:tcPr>
          <w:p>
            <w:pPr>
              <w:spacing w:after="0"/>
              <w:rPr>
                <w:sz w:val="23"/>
                <w:szCs w:val="23"/>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additions</w:t>
            </w:r>
          </w:p>
        </w:tc>
        <w:tc>
          <w:tcPr>
            <w:tcW w:w="4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845,428</w:t>
            </w:r>
          </w:p>
        </w:tc>
      </w:tr>
      <w:tr>
        <w:trPr>
          <w:trHeight w:val="243"/>
        </w:trPr>
        <w:tc>
          <w:tcPr>
            <w:tcW w:w="67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r>
      <w:tr>
        <w:trPr>
          <w:trHeight w:val="233"/>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Deductions</w:t>
            </w:r>
          </w:p>
        </w:tc>
        <w:tc>
          <w:tcPr>
            <w:tcW w:w="4520" w:type="dxa"/>
            <w:vAlign w:val="bottom"/>
          </w:tcPr>
          <w:p>
            <w:pPr>
              <w:spacing w:after="0"/>
              <w:rPr>
                <w:sz w:val="20"/>
                <w:szCs w:val="20"/>
                <w:color w:val="auto"/>
              </w:rPr>
            </w:pPr>
          </w:p>
        </w:tc>
      </w:tr>
      <w:tr>
        <w:trPr>
          <w:trHeight w:val="253"/>
        </w:trPr>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Benefit payments to participants</w:t>
            </w:r>
          </w:p>
        </w:tc>
        <w:tc>
          <w:tcPr>
            <w:tcW w:w="4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280,822</w:t>
            </w:r>
          </w:p>
        </w:tc>
      </w:tr>
      <w:tr>
        <w:trPr>
          <w:trHeight w:val="237"/>
        </w:trPr>
        <w:tc>
          <w:tcPr>
            <w:tcW w:w="6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Administrative expenses and other</w:t>
            </w:r>
          </w:p>
        </w:tc>
        <w:tc>
          <w:tcPr>
            <w:tcW w:w="4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9,992</w:t>
            </w:r>
          </w:p>
        </w:tc>
      </w:tr>
      <w:tr>
        <w:trPr>
          <w:trHeight w:val="236"/>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deductions</w:t>
            </w:r>
          </w:p>
        </w:tc>
        <w:tc>
          <w:tcPr>
            <w:tcW w:w="4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290,814</w:t>
            </w:r>
          </w:p>
        </w:tc>
      </w:tr>
      <w:tr>
        <w:trPr>
          <w:trHeight w:val="243"/>
        </w:trPr>
        <w:tc>
          <w:tcPr>
            <w:tcW w:w="6720" w:type="dxa"/>
            <w:vAlign w:val="bottom"/>
          </w:tcPr>
          <w:p>
            <w:pPr>
              <w:spacing w:after="0"/>
              <w:rPr>
                <w:sz w:val="21"/>
                <w:szCs w:val="21"/>
                <w:color w:val="auto"/>
              </w:rPr>
            </w:pPr>
          </w:p>
        </w:tc>
        <w:tc>
          <w:tcPr>
            <w:tcW w:w="4520" w:type="dxa"/>
            <w:vAlign w:val="bottom"/>
          </w:tcPr>
          <w:p>
            <w:pPr>
              <w:spacing w:after="0"/>
              <w:rPr>
                <w:sz w:val="21"/>
                <w:szCs w:val="21"/>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net assets</w:t>
            </w:r>
          </w:p>
        </w:tc>
        <w:tc>
          <w:tcPr>
            <w:tcW w:w="45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554,614</w:t>
            </w:r>
          </w:p>
        </w:tc>
      </w:tr>
      <w:tr>
        <w:trPr>
          <w:trHeight w:val="270"/>
        </w:trPr>
        <w:tc>
          <w:tcPr>
            <w:tcW w:w="6720" w:type="dxa"/>
            <w:vAlign w:val="bottom"/>
            <w:tcBorders>
              <w:bottom w:val="single" w:sz="8" w:color="auto"/>
            </w:tcBorders>
          </w:tcPr>
          <w:p>
            <w:pPr>
              <w:spacing w:after="0"/>
              <w:rPr>
                <w:sz w:val="23"/>
                <w:szCs w:val="23"/>
                <w:color w:val="auto"/>
              </w:rPr>
            </w:pPr>
          </w:p>
        </w:tc>
        <w:tc>
          <w:tcPr>
            <w:tcW w:w="4520" w:type="dxa"/>
            <w:vAlign w:val="bottom"/>
            <w:tcBorders>
              <w:bottom w:val="single" w:sz="8" w:color="auto"/>
            </w:tcBorders>
          </w:tcPr>
          <w:p>
            <w:pPr>
              <w:spacing w:after="0"/>
              <w:rPr>
                <w:sz w:val="23"/>
                <w:szCs w:val="23"/>
                <w:color w:val="auto"/>
              </w:rPr>
            </w:pPr>
          </w:p>
        </w:tc>
      </w:tr>
      <w:tr>
        <w:trPr>
          <w:trHeight w:val="23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available for benefits at beginning of year</w:t>
            </w:r>
          </w:p>
        </w:tc>
        <w:tc>
          <w:tcPr>
            <w:tcW w:w="4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3,148,259</w:t>
            </w:r>
          </w:p>
        </w:tc>
      </w:tr>
      <w:tr>
        <w:trPr>
          <w:trHeight w:val="237"/>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assets available for benefits at end of year</w:t>
            </w:r>
          </w:p>
        </w:tc>
        <w:tc>
          <w:tcPr>
            <w:tcW w:w="4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$3,702,873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financial statements.</w:t>
      </w:r>
    </w:p>
    <w:p>
      <w:pPr>
        <w:spacing w:after="0" w:line="36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6 of 20</w:t>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color w:val="auto"/>
        </w:rPr>
        <w:t>(Dollar and share amounts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3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Nordstrom 401(k) Plan, as amended, was originally established on January 1, 1953 and is a defined contribution plan. The following description of the Plan’s provisions is for informational purposes only and does not bind the Plan. Participants should refer to the Plan documents for a more complete description of the Plan’s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31"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The Plan covers substantially all employees of the Company. For Company contributions, participation begins on the first of the month coinciding with or following the first anniversary of the employee’s original hire date. For elective salary deferrals (401(k) contributions), participation begins on the employee’s hire date. The Plan is subject to the provisions of ERISA.</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Plan contains eligibility provisions to ensure that all eligible employees enter the Plan by the latest participation date required under the applicable provisions of the IRC. Eligible employees who neither make an affirmative salary deferral election nor affirmatively opt out of the Plan are automatically enrolled in the Plan beginning on the first of the month coinciding with or following the first anniversary of their original hire date with a salary deferral contribution equal to 2% of eligible compensation. Employees have the option to elect a zero salary deferral or to change their salary deferral percentage at any time in accordance with the Plan.</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Plan years ended December 31, 2019 and 2018, to qualify for Company contributions, eligible participants must work at least 1,000 hours during the payroll calendar year and be employed on the last day of the Plan year. The “last day” requirement is waived if the participant terminates employment due to retirement, disability, or death.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Year</w:t>
      </w:r>
    </w:p>
    <w:p>
      <w:pPr>
        <w:spacing w:after="0" w:line="3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Plan operates on a calendar year ending on December 31. References to 2019 and 2018 relate to the Plan years ended December 31, 2019 and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and Administrator of the Plan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BNY Mellon is the asset trustee of the Plan and Alight Solutions provides recordkeeping services for the Plan.</w:t>
      </w:r>
    </w:p>
    <w:p>
      <w:pPr>
        <w:spacing w:after="0" w:line="171" w:lineRule="exact"/>
        <w:rPr>
          <w:sz w:val="20"/>
          <w:szCs w:val="20"/>
          <w:color w:val="auto"/>
        </w:rPr>
      </w:pPr>
    </w:p>
    <w:p>
      <w:pPr>
        <w:ind w:right="1520"/>
        <w:spacing w:after="0" w:line="344" w:lineRule="auto"/>
        <w:rPr>
          <w:sz w:val="20"/>
          <w:szCs w:val="20"/>
          <w:color w:val="auto"/>
        </w:rPr>
      </w:pPr>
      <w:r>
        <w:rPr>
          <w:rFonts w:ascii="Arial" w:cs="Arial" w:eastAsia="Arial" w:hAnsi="Arial"/>
          <w:sz w:val="18"/>
          <w:szCs w:val="18"/>
          <w:color w:val="auto"/>
        </w:rPr>
        <w:t xml:space="preserve">The Plan is administered by the Company in conjunction with the Plan Administrator, a committee appointed by the Board. </w:t>
      </w:r>
      <w:r>
        <w:rPr>
          <w:rFonts w:ascii="Arial" w:cs="Arial" w:eastAsia="Arial" w:hAnsi="Arial"/>
          <w:sz w:val="18"/>
          <w:szCs w:val="18"/>
          <w:b w:val="1"/>
          <w:bCs w:val="1"/>
          <w:color w:val="auto"/>
        </w:rPr>
        <w:t>Plan Contributions</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Contributions to the Plan are made through employee contributions, including catch-up contributions, Company contributions and participant rollover contributions.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Employee Contributions— </w:t>
      </w:r>
      <w:r>
        <w:rPr>
          <w:rFonts w:ascii="Arial" w:cs="Arial" w:eastAsia="Arial" w:hAnsi="Arial"/>
          <w:sz w:val="18"/>
          <w:szCs w:val="18"/>
          <w:color w:val="auto"/>
        </w:rPr>
        <w:t>Eligible employees may elect to defer eligible compensation on a pre-tax basis, after-tax basis (a Roth)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both. The maximum elective salary deferral is 50% for non-highly compensated employees and 16% for highly compensated employees. However, that percentage can be reduced for highly compensated employees as required to satisfy applicable non-discrimination testing requirements. Employees age 50 and over are allowed a catch-up contribution on a pre-tax basis, after-tax basis (a Roth) or a combination of both, beginning in the year they turn age 50. For all employees, the IRS limited participant contributions to a maximum of $19 in 2019 and $18.5 in 2018. For those age 50 and over, the IRS limited participant contributions to a maximum of $25 in 2019 and $24.5 in 2018.</w:t>
      </w:r>
    </w:p>
    <w:p>
      <w:pPr>
        <w:spacing w:after="0" w:line="1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Company Contributions— </w:t>
      </w:r>
      <w:r>
        <w:rPr>
          <w:rFonts w:ascii="Arial" w:cs="Arial" w:eastAsia="Arial" w:hAnsi="Arial"/>
          <w:sz w:val="18"/>
          <w:szCs w:val="18"/>
          <w:color w:val="auto"/>
        </w:rPr>
        <w:t>The Company intends to match employee contributions dollar for dollar up to 4% of the participant’s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at the discretion of the Board. Catch-up contributions are not eligible for matching contributions. Depending on Company performance and at the discretion of the Board, the Company may also make an additional profit-based matching contribution of up to 50 cents per dollar on the first 4% of eligible compensation contributed. In March 2020, related to 2019, participants received 4% Company matching contributions of $70,414 and profit-based matching contributions of $15,459, which were made at the Board-approved amount of 22 cents per dollar on the first 4% of eligible compensation contributed.</w:t>
      </w:r>
    </w:p>
    <w:p>
      <w:pPr>
        <w:spacing w:after="0" w:line="13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Participant Rollover Contributions— </w:t>
      </w:r>
      <w:r>
        <w:rPr>
          <w:rFonts w:ascii="Arial" w:cs="Arial" w:eastAsia="Arial" w:hAnsi="Arial"/>
          <w:sz w:val="18"/>
          <w:szCs w:val="18"/>
          <w:color w:val="auto"/>
        </w:rPr>
        <w:t>Participants eligible for a withdrawal from another eligible retirement plan or traditional IRA may roll over</w:t>
      </w:r>
      <w:r>
        <w:rPr>
          <w:rFonts w:ascii="Arial" w:cs="Arial" w:eastAsia="Arial" w:hAnsi="Arial"/>
          <w:sz w:val="18"/>
          <w:szCs w:val="18"/>
          <w:i w:val="1"/>
          <w:iCs w:val="1"/>
          <w:color w:val="auto"/>
        </w:rPr>
        <w:t xml:space="preserve"> </w:t>
      </w:r>
      <w:r>
        <w:rPr>
          <w:rFonts w:ascii="Arial" w:cs="Arial" w:eastAsia="Arial" w:hAnsi="Arial"/>
          <w:sz w:val="18"/>
          <w:szCs w:val="18"/>
          <w:color w:val="auto"/>
        </w:rPr>
        <w:t>all or part of that amount into the Plan. Participants may not roll over amounts from a Roth IRA into the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3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Participants can direct the investment of their accounts (including employee and Company contributions) among various funds, debt securities and Company common stock. The funds as of December 31, 2019 and 2018 include a variety of mutual funds, CCT funds, separately managed funds, and custom target retirement date funds. The available funds are regularly reviewed by the Plan Administrator and are subject to change at any time.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20</w:t>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Investment Activity</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Individual accounts are credited daily with a pro-rata share of investment income or loss experienced by the respective funds into which their account balances have been directed. This income or loss is included in net appreciation or depreciation in fair value of investments on the Statement of Changes in Net Assets Available for Benefits.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in the Plan</w:t>
      </w:r>
    </w:p>
    <w:p>
      <w:pPr>
        <w:spacing w:after="0" w:line="3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Employees who terminate employment due to retirement, disability or death are 100% vested in their Plan accounts, regardless of years of service. The Plan defines “retirement” as age 60 or older for the purposes of vesting. On termination of employment for reasons other than retirement, disability or death, the amounts credited to the accounts of participants are vested as follows: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 Contributions — </w:t>
      </w:r>
      <w:r>
        <w:rPr>
          <w:rFonts w:ascii="Arial" w:cs="Arial" w:eastAsia="Arial" w:hAnsi="Arial"/>
          <w:sz w:val="18"/>
          <w:szCs w:val="18"/>
          <w:color w:val="auto"/>
        </w:rPr>
        <w:t>Employee contributions (salary deferral, catch-up and rollover contributions) are always 100% vested.</w:t>
      </w:r>
    </w:p>
    <w:p>
      <w:pPr>
        <w:spacing w:after="0" w:line="17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Company Matching Contributions — </w:t>
      </w:r>
      <w:r>
        <w:rPr>
          <w:rFonts w:ascii="Arial" w:cs="Arial" w:eastAsia="Arial" w:hAnsi="Arial"/>
          <w:sz w:val="18"/>
          <w:szCs w:val="18"/>
          <w:color w:val="auto"/>
        </w:rPr>
        <w:t>Company matching contributions, including the profit-based matching contribution, for employees vest</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 of Service</w:t>
            </w:r>
          </w:p>
        </w:tc>
        <w:tc>
          <w:tcPr>
            <w:tcW w:w="5660" w:type="dxa"/>
            <w:vAlign w:val="bottom"/>
            <w:tcBorders>
              <w:bottom w:val="single" w:sz="8" w:color="auto"/>
            </w:tcBorders>
          </w:tcPr>
          <w:p>
            <w:pPr>
              <w:ind w:left="2120"/>
              <w:spacing w:after="0"/>
              <w:rPr>
                <w:sz w:val="20"/>
                <w:szCs w:val="20"/>
                <w:color w:val="auto"/>
              </w:rPr>
            </w:pPr>
            <w:r>
              <w:rPr>
                <w:rFonts w:ascii="Arial" w:cs="Arial" w:eastAsia="Arial" w:hAnsi="Arial"/>
                <w:sz w:val="16"/>
                <w:szCs w:val="16"/>
                <w:b w:val="1"/>
                <w:bCs w:val="1"/>
                <w:color w:val="auto"/>
              </w:rPr>
              <w:t>Vesting Percentage</w:t>
            </w:r>
          </w:p>
        </w:tc>
      </w:tr>
      <w:tr>
        <w:trPr>
          <w:trHeight w:val="243"/>
        </w:trPr>
        <w:tc>
          <w:tcPr>
            <w:tcW w:w="5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Less than one</w:t>
            </w:r>
          </w:p>
        </w:tc>
        <w:tc>
          <w:tcPr>
            <w:tcW w:w="5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w:t>
            </w:r>
          </w:p>
        </w:tc>
      </w:tr>
      <w:tr>
        <w:trPr>
          <w:trHeight w:val="233"/>
        </w:trPr>
        <w:tc>
          <w:tcPr>
            <w:tcW w:w="5580" w:type="dxa"/>
            <w:vAlign w:val="bottom"/>
          </w:tcPr>
          <w:p>
            <w:pPr>
              <w:jc w:val="center"/>
              <w:spacing w:after="0"/>
              <w:rPr>
                <w:sz w:val="20"/>
                <w:szCs w:val="20"/>
                <w:color w:val="auto"/>
              </w:rPr>
            </w:pPr>
            <w:r>
              <w:rPr>
                <w:rFonts w:ascii="Arial" w:cs="Arial" w:eastAsia="Arial" w:hAnsi="Arial"/>
                <w:sz w:val="16"/>
                <w:szCs w:val="16"/>
                <w:color w:val="auto"/>
              </w:rPr>
              <w:t>One</w:t>
            </w:r>
          </w:p>
        </w:tc>
        <w:tc>
          <w:tcPr>
            <w:tcW w:w="5660" w:type="dxa"/>
            <w:vAlign w:val="bottom"/>
          </w:tcPr>
          <w:p>
            <w:pPr>
              <w:jc w:val="center"/>
              <w:spacing w:after="0"/>
              <w:rPr>
                <w:sz w:val="20"/>
                <w:szCs w:val="20"/>
                <w:color w:val="auto"/>
              </w:rPr>
            </w:pPr>
            <w:r>
              <w:rPr>
                <w:rFonts w:ascii="Arial" w:cs="Arial" w:eastAsia="Arial" w:hAnsi="Arial"/>
                <w:sz w:val="16"/>
                <w:szCs w:val="16"/>
                <w:color w:val="auto"/>
                <w:w w:val="99"/>
              </w:rPr>
              <w:t>33%</w:t>
            </w:r>
          </w:p>
        </w:tc>
      </w:tr>
      <w:tr>
        <w:trPr>
          <w:trHeight w:val="253"/>
        </w:trPr>
        <w:tc>
          <w:tcPr>
            <w:tcW w:w="5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Two</w:t>
            </w:r>
          </w:p>
        </w:tc>
        <w:tc>
          <w:tcPr>
            <w:tcW w:w="5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37"/>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Three or more</w:t>
            </w:r>
          </w:p>
        </w:tc>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Forfeitures</w:t>
      </w:r>
    </w:p>
    <w:p>
      <w:pPr>
        <w:spacing w:after="0" w:line="3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When a participant terminates, the unvested portion of the participant’s account represents a forfeiture, unless the participant resumes service with the Company within five years. At December 31, 2019 and 2018, forfeited unvested accounts were $1,363 and $1,418. Forfeitures of unvested Company matching contributions from terminated participant accounts can be used to offset Company matching contributions or to pay Plan administrative expenses, as determined by the Plan Administrator. In March 2020 and March 2019, the Plan used forfeitures of $1,361 and $1,262 to offset the 2019 and 2018 Company matching contributions.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termination of service, a participant (or participant’s beneficiary in the case of death) may elect to roll over the value of the vested interest in his or her account to another qualified plan, to receive the value as a lump-sum distribution or elect to remain in the Plan, if the vested account balance exceeds $ 1 (subject to required distributions under Section 401(a)(9) of the IRC). When an active participant reaches age 59½ and continues to work for the Company, the participant is eligible to receive a partial or full distribution of their account.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Loans (Notes Receivable from Participants)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borrow a minimum of $1 from their account up to a maximum that is equal to the lesser of:</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of their vested account balance, less the balance of any other outstanding loans from the Plan as of the loan request date, or</w:t>
      </w:r>
    </w:p>
    <w:p>
      <w:pPr>
        <w:spacing w:after="0" w:line="9" w:lineRule="exact"/>
        <w:rPr>
          <w:rFonts w:ascii="Arial" w:cs="Arial" w:eastAsia="Arial" w:hAnsi="Arial"/>
          <w:sz w:val="18"/>
          <w:szCs w:val="18"/>
          <w:color w:val="auto"/>
        </w:rPr>
      </w:pPr>
    </w:p>
    <w:p>
      <w:pPr>
        <w:ind w:left="660" w:right="58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$50 less the highest outstanding principal balance of any loans, from this Plan or any other qualified Plan of the employer or a related employer, during the one-year period immediately preceding the loan request date.</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Loan terms are a maximum of five years or, if for the purchase of a principal residence, up to 20 years. The loans are secured by the balance in the participant’s account. The interest rate for a loan is determined at the time it is approved. The rate will be the prime rate as reported by the Wall Street Journal on the last business day of the prior month, plus 1%. Interest rates for participant loans outstanding at December 31, 2019 range from 4.25% to 10.5% with various maturities through January 2040. Principal and interest is paid through payroll deductions, following the participant’s semi-monthly or weekly payroll cycle. A participant may have a maximum of two loans outstanding at any one time.</w:t>
      </w:r>
    </w:p>
    <w:p>
      <w:pPr>
        <w:spacing w:after="0" w:line="15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Participants may make monthly loan repayments during approved leaves of absence. Alternatively, payment obligations may be suspended during approved leaves of absence not longer than one year and during periods of qualified military service. Participants may continue to make loan repayments after termination of employment under procedures established by the Plan Administrator. If the participant does not make a payment by the required due date, the loan balances will be deemed distributed and become taxable income to the participant.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accordance with GAAP.</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20</w:t>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color w:val="auto"/>
        </w:rPr>
        <w:t>(Dollar and share amounts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preparation of financial statements in conformity with GAAP in the U.S. requires management to make estimates and assumptions that affect the reported amounts of assets, liabilities, and changes therein and disclosure of contingent assets and liabilities during the reporting period. Uncertainties regarding such estimates and assumptions are inherent in the preparation of financial statements and actual results may differ from these estimates and assumptions.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3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Plan holds various investment instruments, including, but not limited to, common stock, debt securities, mutual funds and CCTs. 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Plan’s investments are held by the trustee and are recorded at fair value as follows:</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is valued at quoted market prices as of the last trading day of the Plan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mutual funds are valued at quoted market prices as of the last trading day of the Plan year.</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CCTs are measured using the NAV practical expedient of the CCT as reported by the CCT managers. The NAV practical expedient is based on the fair value of the underlying assets owned by the CCT, less its liabilities, and divided by the number of units outstanding.</w:t>
      </w:r>
    </w:p>
    <w:p>
      <w:pPr>
        <w:spacing w:after="0" w:line="1" w:lineRule="exact"/>
        <w:rPr>
          <w:rFonts w:ascii="Arial" w:cs="Arial" w:eastAsia="Arial" w:hAnsi="Arial"/>
          <w:sz w:val="18"/>
          <w:szCs w:val="18"/>
          <w:color w:val="auto"/>
        </w:rPr>
      </w:pPr>
    </w:p>
    <w:p>
      <w:pPr>
        <w:ind w:left="660" w:right="64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Investments in debt securities are valued using the market approach and observable inputs, such as observable trade prices, multiple broker/dealer quotes, related yield curves and other assumptions about the securities.</w:t>
      </w:r>
    </w:p>
    <w:p>
      <w:pPr>
        <w:ind w:left="660" w:right="24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Self-directed brokerage accounts allow participants to invest all or a portion of their account in investments of their choice. The fair value is based on the underlying investments, which may include common stock, mutual funds and debt securities.</w:t>
      </w:r>
    </w:p>
    <w:p>
      <w:pPr>
        <w:spacing w:after="0" w:line="14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an accrual basis. Dividends are recorded when earned.</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realized gains or losses on investment sales represent the difference between the sale proceeds and cost of the investments, or the adjusted market price. Net unrealized appreciation or depreciation on investments held at the end of the Plan year represents the net change in fair value of investments during the year. The Statement of Changes in Net Assets Available for Benefits presents the net appreciation or depreciation in fair value of investments, which consists of realized and unrealized gains and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Participant loans are included in notes receivable from participants on the Statements of Net Assets Available for Benefits and are measured at their unpaid principal balance plus any accrued unpaid interest. Delinquent participant loans are recorded as distributions based on the terms of the Plan document.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Benefits are recorded when paid. Amounts allocated to former participants who have withdrawn from the Plan, but have not yet been paid as of December 31, 2019 and 2018 were $261 and $667.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Substantially all of the administrative expenses, including recordkeeping, trustee and other fees, incurred in connection with the Plan are paid by the Plan through an allocation to participant accounts.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March 2020, the World Health Organization declared COVID-19 a global pandemic, and governmental authorities around the world have implemented measures to reduce the spread of COVID-19 including restrictions on business operations, public gatherings and travel, as well as stay-at-home orders, social distancing, and quarantines. COVID-19 is having a significant effect on overall economic conditions in nearly all regions around the world and has caused volatility in financial markets, which may continue to affect the market price of the Company’s Common Stock and other Plan assets. While this is expected to be temporary, the current circumstances are dynamic and the impacts of COVID-19 cannot be reasonably estimated at this time.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20</w:t>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Plan discloses its assets that are measured at fair value in the Statements of Net Assets Available for Benefits by level within the fair value hierarchy as defined by applicable accounting standards: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1300" w:right="1820" w:hanging="647"/>
        <w:spacing w:after="0" w:line="261" w:lineRule="auto"/>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tables set forth, by level within the fair value hierarchy, a summary of the Plan’s investments that were measured at fair value on a recurring basis as of December 31, 2019 and 2018. There have been no changes in the methodologies used at December 31,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December 31, 2019</w:t>
            </w:r>
          </w:p>
        </w:tc>
        <w:tc>
          <w:tcPr>
            <w:tcW w:w="1480" w:type="dxa"/>
            <w:vAlign w:val="bottom"/>
            <w:tcBorders>
              <w:bottom w:val="single" w:sz="8" w:color="auto"/>
            </w:tcBorders>
          </w:tcPr>
          <w:p>
            <w:pPr>
              <w:spacing w:after="0"/>
              <w:rPr>
                <w:sz w:val="19"/>
                <w:szCs w:val="19"/>
                <w:color w:val="auto"/>
              </w:rPr>
            </w:pPr>
          </w:p>
        </w:tc>
      </w:tr>
      <w:tr>
        <w:trPr>
          <w:trHeight w:val="237"/>
        </w:trPr>
        <w:tc>
          <w:tcPr>
            <w:tcW w:w="57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Level 1</w:t>
            </w:r>
          </w:p>
        </w:tc>
        <w:tc>
          <w:tcPr>
            <w:tcW w:w="21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Level 2</w:t>
            </w: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hierarchy:</w:t>
            </w:r>
          </w:p>
        </w:tc>
        <w:tc>
          <w:tcPr>
            <w:tcW w:w="18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57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20" w:type="dxa"/>
            <w:vAlign w:val="bottom"/>
          </w:tcPr>
          <w:p>
            <w:pPr>
              <w:jc w:val="right"/>
              <w:ind w:right="139"/>
              <w:spacing w:after="0"/>
              <w:rPr>
                <w:sz w:val="20"/>
                <w:szCs w:val="20"/>
                <w:color w:val="auto"/>
              </w:rPr>
            </w:pPr>
            <w:r>
              <w:rPr>
                <w:rFonts w:ascii="Arial" w:cs="Arial" w:eastAsia="Arial" w:hAnsi="Arial"/>
                <w:sz w:val="16"/>
                <w:szCs w:val="16"/>
                <w:b w:val="1"/>
                <w:bCs w:val="1"/>
                <w:color w:val="auto"/>
              </w:rPr>
              <w:t>$1,039,179</w:t>
            </w:r>
          </w:p>
        </w:tc>
        <w:tc>
          <w:tcPr>
            <w:tcW w:w="21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$1,039,179</w:t>
            </w:r>
          </w:p>
        </w:tc>
      </w:tr>
      <w:tr>
        <w:trPr>
          <w:trHeight w:val="253"/>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46,708</w:t>
            </w:r>
          </w:p>
        </w:tc>
        <w:tc>
          <w:tcPr>
            <w:tcW w:w="21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142,990</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189,698</w:t>
            </w:r>
          </w:p>
        </w:tc>
      </w:tr>
      <w:tr>
        <w:trPr>
          <w:trHeight w:val="233"/>
        </w:trPr>
        <w:tc>
          <w:tcPr>
            <w:tcW w:w="5780" w:type="dxa"/>
            <w:vAlign w:val="bottom"/>
          </w:tcPr>
          <w:p>
            <w:pPr>
              <w:ind w:left="220"/>
              <w:spacing w:after="0"/>
              <w:rPr>
                <w:sz w:val="20"/>
                <w:szCs w:val="20"/>
                <w:color w:val="auto"/>
              </w:rPr>
            </w:pPr>
            <w:r>
              <w:rPr>
                <w:rFonts w:ascii="Arial" w:cs="Arial" w:eastAsia="Arial" w:hAnsi="Arial"/>
                <w:sz w:val="16"/>
                <w:szCs w:val="16"/>
                <w:color w:val="auto"/>
              </w:rPr>
              <w:t>Mutual funds</w:t>
            </w:r>
          </w:p>
        </w:tc>
        <w:tc>
          <w:tcPr>
            <w:tcW w:w="1820" w:type="dxa"/>
            <w:vAlign w:val="bottom"/>
          </w:tcPr>
          <w:p>
            <w:pPr>
              <w:jc w:val="right"/>
              <w:ind w:right="139"/>
              <w:spacing w:after="0"/>
              <w:rPr>
                <w:sz w:val="20"/>
                <w:szCs w:val="20"/>
                <w:color w:val="auto"/>
              </w:rPr>
            </w:pPr>
            <w:r>
              <w:rPr>
                <w:rFonts w:ascii="Arial" w:cs="Arial" w:eastAsia="Arial" w:hAnsi="Arial"/>
                <w:sz w:val="16"/>
                <w:szCs w:val="16"/>
                <w:b w:val="1"/>
                <w:bCs w:val="1"/>
                <w:color w:val="auto"/>
              </w:rPr>
              <w:t>1,277,946</w:t>
            </w:r>
          </w:p>
        </w:tc>
        <w:tc>
          <w:tcPr>
            <w:tcW w:w="21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1,277,946</w:t>
            </w:r>
          </w:p>
        </w:tc>
      </w:tr>
      <w:tr>
        <w:trPr>
          <w:trHeight w:val="253"/>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Brokerage securities</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26,213</w:t>
            </w:r>
          </w:p>
        </w:tc>
        <w:tc>
          <w:tcPr>
            <w:tcW w:w="21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5,285</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31,498</w:t>
            </w:r>
          </w:p>
        </w:tc>
      </w:tr>
      <w:tr>
        <w:trPr>
          <w:trHeight w:val="243"/>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(3,751)</w:t>
            </w:r>
          </w:p>
        </w:tc>
        <w:tc>
          <w:tcPr>
            <w:tcW w:w="2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(3,751)</w:t>
            </w:r>
          </w:p>
        </w:tc>
      </w:tr>
      <w:tr>
        <w:trPr>
          <w:trHeight w:val="23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in fair value hierarchy</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$2,386,295</w:t>
            </w:r>
          </w:p>
        </w:tc>
        <w:tc>
          <w:tcPr>
            <w:tcW w:w="216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$148,275</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$2,534,570</w:t>
            </w:r>
          </w:p>
        </w:tc>
      </w:tr>
      <w:tr>
        <w:trPr>
          <w:trHeight w:val="23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Investments measured at NAV practical expedient</w:t>
            </w:r>
          </w:p>
        </w:tc>
        <w:tc>
          <w:tcPr>
            <w:tcW w:w="18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978,694</w:t>
            </w:r>
          </w:p>
        </w:tc>
      </w:tr>
      <w:tr>
        <w:trPr>
          <w:trHeight w:val="236"/>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participant-directed investments at fair value</w:t>
            </w:r>
          </w:p>
        </w:tc>
        <w:tc>
          <w:tcPr>
            <w:tcW w:w="182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$3,513,264</w:t>
            </w:r>
          </w:p>
        </w:tc>
      </w:tr>
    </w:tbl>
    <w:p>
      <w:pPr>
        <w:spacing w:after="0" w:line="40" w:lineRule="exact"/>
        <w:rPr>
          <w:sz w:val="20"/>
          <w:szCs w:val="20"/>
          <w:color w:val="auto"/>
        </w:rPr>
      </w:pPr>
    </w:p>
    <w:p>
      <w:pPr>
        <w:ind w:left="100" w:hanging="92"/>
        <w:spacing w:after="0"/>
        <w:tabs>
          <w:tab w:leader="none" w:pos="10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Other primarily includes pending receivable transactions for dividends and interest.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December 31, 2018</w:t>
            </w:r>
          </w:p>
        </w:tc>
        <w:tc>
          <w:tcPr>
            <w:tcW w:w="1480" w:type="dxa"/>
            <w:vAlign w:val="bottom"/>
            <w:tcBorders>
              <w:bottom w:val="single" w:sz="8" w:color="auto"/>
            </w:tcBorders>
          </w:tcPr>
          <w:p>
            <w:pPr>
              <w:spacing w:after="0"/>
              <w:rPr>
                <w:sz w:val="19"/>
                <w:szCs w:val="19"/>
                <w:color w:val="auto"/>
              </w:rPr>
            </w:pPr>
          </w:p>
        </w:tc>
      </w:tr>
      <w:tr>
        <w:trPr>
          <w:trHeight w:val="237"/>
        </w:trPr>
        <w:tc>
          <w:tcPr>
            <w:tcW w:w="57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Level 1</w:t>
            </w:r>
          </w:p>
        </w:tc>
        <w:tc>
          <w:tcPr>
            <w:tcW w:w="21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Level 2</w:t>
            </w: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hierarchy:</w:t>
            </w:r>
          </w:p>
        </w:tc>
        <w:tc>
          <w:tcPr>
            <w:tcW w:w="18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3"/>
        </w:trPr>
        <w:tc>
          <w:tcPr>
            <w:tcW w:w="578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$942,414</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$942,414</w:t>
            </w:r>
          </w:p>
        </w:tc>
      </w:tr>
      <w:tr>
        <w:trPr>
          <w:trHeight w:val="253"/>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11,691</w:t>
            </w:r>
          </w:p>
        </w:tc>
        <w:tc>
          <w:tcPr>
            <w:tcW w:w="21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141,073</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152,764</w:t>
            </w:r>
          </w:p>
        </w:tc>
      </w:tr>
      <w:tr>
        <w:trPr>
          <w:trHeight w:val="233"/>
        </w:trPr>
        <w:tc>
          <w:tcPr>
            <w:tcW w:w="5780" w:type="dxa"/>
            <w:vAlign w:val="bottom"/>
          </w:tcPr>
          <w:p>
            <w:pPr>
              <w:ind w:left="220"/>
              <w:spacing w:after="0"/>
              <w:rPr>
                <w:sz w:val="20"/>
                <w:szCs w:val="20"/>
                <w:color w:val="auto"/>
              </w:rPr>
            </w:pPr>
            <w:r>
              <w:rPr>
                <w:rFonts w:ascii="Arial" w:cs="Arial" w:eastAsia="Arial" w:hAnsi="Arial"/>
                <w:sz w:val="16"/>
                <w:szCs w:val="16"/>
                <w:color w:val="auto"/>
              </w:rPr>
              <w:t>Mutual funds</w:t>
            </w: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1,005,811</w:t>
            </w:r>
          </w:p>
        </w:tc>
        <w:tc>
          <w:tcPr>
            <w:tcW w:w="21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1,005,811</w:t>
            </w:r>
          </w:p>
        </w:tc>
      </w:tr>
      <w:tr>
        <w:trPr>
          <w:trHeight w:val="253"/>
        </w:trPr>
        <w:tc>
          <w:tcPr>
            <w:tcW w:w="5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Brokerage securities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22,463</w:t>
            </w:r>
          </w:p>
        </w:tc>
        <w:tc>
          <w:tcPr>
            <w:tcW w:w="21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2,660</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25,123</w:t>
            </w:r>
          </w:p>
        </w:tc>
      </w:tr>
      <w:tr>
        <w:trPr>
          <w:trHeight w:val="236"/>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4,188</w:t>
            </w:r>
          </w:p>
        </w:tc>
        <w:tc>
          <w:tcPr>
            <w:tcW w:w="2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4,188</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in fair value hierarchy</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$1,986,567</w:t>
            </w:r>
          </w:p>
        </w:tc>
        <w:tc>
          <w:tcPr>
            <w:tcW w:w="21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$143,733</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$2,130,300</w:t>
            </w:r>
          </w:p>
        </w:tc>
      </w:tr>
      <w:tr>
        <w:trPr>
          <w:trHeight w:val="23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Investments measured at NAV practical expedient</w:t>
            </w:r>
          </w:p>
        </w:tc>
        <w:tc>
          <w:tcPr>
            <w:tcW w:w="18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824,832</w:t>
            </w:r>
          </w:p>
        </w:tc>
      </w:tr>
      <w:tr>
        <w:trPr>
          <w:trHeight w:val="237"/>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participant-directed investments at fair value</w:t>
            </w:r>
          </w:p>
        </w:tc>
        <w:tc>
          <w:tcPr>
            <w:tcW w:w="1800" w:type="dxa"/>
            <w:vAlign w:val="bottom"/>
            <w:tcBorders>
              <w:bottom w:val="single" w:sz="8" w:color="auto"/>
            </w:tcBorders>
            <w:shd w:val="clear" w:color="auto" w:fill="CCEEFF"/>
          </w:tcPr>
          <w:p>
            <w:pPr>
              <w:spacing w:after="0"/>
              <w:rPr>
                <w:sz w:val="20"/>
                <w:szCs w:val="20"/>
                <w:color w:val="auto"/>
              </w:rPr>
            </w:pPr>
          </w:p>
        </w:tc>
        <w:tc>
          <w:tcPr>
            <w:tcW w:w="2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$2,955,132</w:t>
            </w:r>
          </w:p>
        </w:tc>
      </w:tr>
    </w:tbl>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Plan’s NAV funds are primarily composed of CCT’s, which are measured daily and may be redeemed daily with no restrictions related to the redemption notice period.</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Plan did not have any Level 3 measurements as of December 31, 2019 and 2018. During 2019, there were no transfers in or out of Levels 1, 2 or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20</w:t>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color w:val="auto"/>
        </w:rPr>
        <w:t>(Dollar and share amounts in thousands)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PARTY-IN-INTEREST TRANSACTIONS</w:t>
      </w:r>
    </w:p>
    <w:p>
      <w:pPr>
        <w:spacing w:after="0" w:line="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2019 and 2018, Plan investments included units held in a collective trust managed by BNY Mellon, BNY Mellon common stock and interest-bearing cash managed by BNY Mellon. Transactions with this entity qualify as exempt party-in-interest transactions. Fees paid by the Plan to BNY Mellon were $899 for 2019 and fees payable to BNY Mellon were $166 as of December 31, 2019. Fees paid by the Plan to Alight Solutions were $2,378 for 2019.</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As the Plan sponsor, the Company is a party-in-interest with respect to the Plan. As of December 31, 2019 and 2018, the Plan held 3,596 and 3,732 shares of Nordstrom common stock, with a cost basis of $159,830 and $170,479. The Plan recorded dividend income from Nordstrom common stock of $5,465 during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FEDERAL INCOME TAX STATUS</w:t>
      </w:r>
    </w:p>
    <w:p>
      <w:pPr>
        <w:spacing w:after="0" w:line="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Plan as amended and restated as of January 1, 2019 is an individually designed plan. While the restated Plan document does not have a determination letter from the IRS, the Company and Plan management believe that the Plan is currently designed and operated in compliance with the applicable requirements of the IRC, and the Plan and related trust continue to be tax-exempt. Therefore, no provision for income taxes has been included in the Plan’s financial statements.</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concluded that as of December 31, 2019 and 2018, there are no uncertain tax positions taken or expected to be taken that would require recognition of a liability (or asset) or disclosure in the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PLAN TERMINATION</w:t>
      </w:r>
    </w:p>
    <w:p>
      <w:pPr>
        <w:spacing w:after="0" w:line="3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Under the Plan, the Company may also temporarily suspend contributions, which does not constitute or require termination of the Plan.</w:t>
      </w:r>
    </w:p>
    <w:p>
      <w:pPr>
        <w:spacing w:after="0" w:line="14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event the Plan is terminated, the respective accounts of the participants under the Plan shall become fully vested and nonforfeitable. After payment of expenses properly chargeable against the Plan, the trustee shall distribute all Plan assets to the participants in the proportions determined by their respective accounts.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EXCESS CONTRIBUTIONS PAYABLE TO PARTICIPANTS</w:t>
      </w:r>
    </w:p>
    <w:p>
      <w:pPr>
        <w:spacing w:after="0" w:line="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Plan is subject to certain non-discrimination rules under ERISA and the IRC. For 2019 and 2018, the Plan failed certain non-discrimination tests under the IRC due to lower deferral percentages by non-highly compensated eligible employees relative to the deferral percentages of highly compensated eligible employees. In order to meet the requirements of the non-discrimination rules, the Plan refunded a portion of the contributions made by highly compensated participants, in accordance with applicable provisions of the IRC. Additionally, the Plan is required to return contributions received from participants during the Plan year in excess of the IRC limits (see Note 1: Description of the Plan for additional information on IRS contribution limitations). These refunds are accrued within excess contributions payable to participants in the Statements of Net Assets Available for Benefits and reduce participant contributions on the Statement of Changes in Net Assets Available for Benefits. The net refund for 2019, paid in March 2020, totaled $2,988 and included approximately $492 of investment earnings. The net refund for 2018, paid in March 2019, totaled $2,074 and included approximately $126 of investment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RECONCILIATION OF FINANCIAL STATEMENTS TO FORM 5500</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2019, the Plan had pending investment purchases and sales of $9,983 and $22,795 that settled subsequent to year end. These transactions were classified in due to broker for securities purchased and accrued income and broker receivable on the Statement of Net Assets Available for Benefits, and are not included in Schedule H, Line 4(i) - Schedule of Assets. Net Assets available for benefits per the financial statements reflects and is equal to net assets available for benefits in the Form 5500.</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 of 20</w:t>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6">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401(k) PLAN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H, LINE 4(i) — SCHEDULE OF ASSETS (HELD AT END OF YEAR)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OF DECEMBER 31, 2019</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EIN: 91-0515058</w:t>
      </w:r>
    </w:p>
    <w:p>
      <w:pPr>
        <w:jc w:val="center"/>
        <w:ind w:right="-19"/>
        <w:spacing w:after="0"/>
        <w:rPr>
          <w:sz w:val="20"/>
          <w:szCs w:val="20"/>
          <w:color w:val="auto"/>
        </w:rPr>
      </w:pPr>
      <w:r>
        <w:rPr>
          <w:rFonts w:ascii="Arial" w:cs="Arial" w:eastAsia="Arial" w:hAnsi="Arial"/>
          <w:sz w:val="22"/>
          <w:szCs w:val="22"/>
          <w:b w:val="1"/>
          <w:bCs w:val="1"/>
          <w:color w:val="auto"/>
        </w:rPr>
        <w:t>Plan #: 001</w:t>
      </w: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(a)</w:t>
            </w:r>
          </w:p>
        </w:tc>
        <w:tc>
          <w:tcPr>
            <w:tcW w:w="4000" w:type="dxa"/>
            <w:vAlign w:val="bottom"/>
          </w:tcPr>
          <w:p>
            <w:pPr>
              <w:ind w:left="120"/>
              <w:spacing w:after="0"/>
              <w:rPr>
                <w:sz w:val="20"/>
                <w:szCs w:val="20"/>
                <w:color w:val="auto"/>
              </w:rPr>
            </w:pPr>
            <w:r>
              <w:rPr>
                <w:rFonts w:ascii="Arial" w:cs="Arial" w:eastAsia="Arial" w:hAnsi="Arial"/>
                <w:sz w:val="16"/>
                <w:szCs w:val="16"/>
                <w:b w:val="1"/>
                <w:bCs w:val="1"/>
                <w:color w:val="auto"/>
              </w:rPr>
              <w:t>(b) Identity of issue, borrower, lessor, or similar</w:t>
            </w:r>
          </w:p>
        </w:tc>
        <w:tc>
          <w:tcPr>
            <w:tcW w:w="4700" w:type="dxa"/>
            <w:vAlign w:val="bottom"/>
          </w:tcPr>
          <w:p>
            <w:pPr>
              <w:ind w:left="100"/>
              <w:spacing w:after="0"/>
              <w:rPr>
                <w:sz w:val="20"/>
                <w:szCs w:val="20"/>
                <w:color w:val="auto"/>
              </w:rPr>
            </w:pPr>
            <w:r>
              <w:rPr>
                <w:rFonts w:ascii="Arial" w:cs="Arial" w:eastAsia="Arial" w:hAnsi="Arial"/>
                <w:sz w:val="16"/>
                <w:szCs w:val="16"/>
                <w:b w:val="1"/>
                <w:bCs w:val="1"/>
                <w:color w:val="auto"/>
              </w:rPr>
              <w:t>(c) Description of investment including maturity date, rate</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(d) Cost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34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party</w:t>
            </w:r>
          </w:p>
        </w:tc>
        <w:tc>
          <w:tcPr>
            <w:tcW w:w="47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of interest, collateral, par, or maturity value</w:t>
            </w:r>
          </w:p>
        </w:tc>
        <w:tc>
          <w:tcPr>
            <w:tcW w:w="10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8"/>
        </w:trPr>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0" w:type="dxa"/>
            <w:vAlign w:val="bottom"/>
          </w:tcPr>
          <w:p>
            <w:pPr>
              <w:ind w:left="120"/>
              <w:spacing w:after="0"/>
              <w:rPr>
                <w:sz w:val="20"/>
                <w:szCs w:val="20"/>
                <w:color w:val="auto"/>
              </w:rPr>
            </w:pPr>
            <w:r>
              <w:rPr>
                <w:rFonts w:ascii="Arial" w:cs="Arial" w:eastAsia="Arial" w:hAnsi="Arial"/>
                <w:sz w:val="16"/>
                <w:szCs w:val="16"/>
                <w:color w:val="auto"/>
              </w:rPr>
              <w:t>EB Temporary Investment Fund</w:t>
            </w:r>
          </w:p>
        </w:tc>
        <w:tc>
          <w:tcPr>
            <w:tcW w:w="4700" w:type="dxa"/>
            <w:vAlign w:val="bottom"/>
          </w:tcPr>
          <w:p>
            <w:pPr>
              <w:ind w:left="100"/>
              <w:spacing w:after="0"/>
              <w:rPr>
                <w:sz w:val="20"/>
                <w:szCs w:val="20"/>
                <w:color w:val="auto"/>
              </w:rPr>
            </w:pPr>
            <w:r>
              <w:rPr>
                <w:rFonts w:ascii="Arial" w:cs="Arial" w:eastAsia="Arial" w:hAnsi="Arial"/>
                <w:sz w:val="16"/>
                <w:szCs w:val="16"/>
                <w:color w:val="auto"/>
              </w:rPr>
              <w:t>CCT - due 12/31/2049 - 1.147%</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23,976</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Schroder International Multi-Cap Equity Trust - Class</w:t>
            </w:r>
          </w:p>
        </w:tc>
        <w:tc>
          <w:tcPr>
            <w:tcW w:w="4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2</w:t>
            </w:r>
          </w:p>
        </w:tc>
        <w:tc>
          <w:tcPr>
            <w:tcW w:w="4700" w:type="dxa"/>
            <w:vAlign w:val="bottom"/>
          </w:tcPr>
          <w:p>
            <w:pPr>
              <w:ind w:left="100"/>
              <w:spacing w:after="0"/>
              <w:rPr>
                <w:sz w:val="20"/>
                <w:szCs w:val="20"/>
                <w:color w:val="auto"/>
              </w:rPr>
            </w:pPr>
            <w:r>
              <w:rPr>
                <w:rFonts w:ascii="Arial" w:cs="Arial" w:eastAsia="Arial" w:hAnsi="Arial"/>
                <w:sz w:val="16"/>
                <w:szCs w:val="16"/>
                <w:color w:val="auto"/>
              </w:rPr>
              <w:t>CCT</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224,556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Putnam Stable Value Fund</w:t>
            </w:r>
          </w:p>
        </w:tc>
        <w:tc>
          <w:tcPr>
            <w:tcW w:w="4700" w:type="dxa"/>
            <w:vAlign w:val="bottom"/>
          </w:tcPr>
          <w:p>
            <w:pPr>
              <w:ind w:left="100"/>
              <w:spacing w:after="0"/>
              <w:rPr>
                <w:sz w:val="20"/>
                <w:szCs w:val="20"/>
                <w:color w:val="auto"/>
              </w:rPr>
            </w:pPr>
            <w:r>
              <w:rPr>
                <w:rFonts w:ascii="Arial" w:cs="Arial" w:eastAsia="Arial" w:hAnsi="Arial"/>
                <w:sz w:val="16"/>
                <w:szCs w:val="16"/>
                <w:color w:val="auto"/>
              </w:rPr>
              <w:t>CCT</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287,687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Loomis Core Plus Fixed Income Fund</w:t>
            </w:r>
          </w:p>
        </w:tc>
        <w:tc>
          <w:tcPr>
            <w:tcW w:w="4700" w:type="dxa"/>
            <w:vAlign w:val="bottom"/>
          </w:tcPr>
          <w:p>
            <w:pPr>
              <w:ind w:left="100"/>
              <w:spacing w:after="0"/>
              <w:rPr>
                <w:sz w:val="20"/>
                <w:szCs w:val="20"/>
                <w:color w:val="auto"/>
              </w:rPr>
            </w:pPr>
            <w:r>
              <w:rPr>
                <w:rFonts w:ascii="Arial" w:cs="Arial" w:eastAsia="Arial" w:hAnsi="Arial"/>
                <w:sz w:val="16"/>
                <w:szCs w:val="16"/>
                <w:color w:val="auto"/>
              </w:rPr>
              <w:t>CCT</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379,769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SSGA TIPS Index</w:t>
            </w:r>
          </w:p>
        </w:tc>
        <w:tc>
          <w:tcPr>
            <w:tcW w:w="4700" w:type="dxa"/>
            <w:vAlign w:val="bottom"/>
          </w:tcPr>
          <w:p>
            <w:pPr>
              <w:ind w:left="100"/>
              <w:spacing w:after="0"/>
              <w:rPr>
                <w:sz w:val="20"/>
                <w:szCs w:val="20"/>
                <w:color w:val="auto"/>
              </w:rPr>
            </w:pPr>
            <w:r>
              <w:rPr>
                <w:rFonts w:ascii="Arial" w:cs="Arial" w:eastAsia="Arial" w:hAnsi="Arial"/>
                <w:sz w:val="16"/>
                <w:szCs w:val="16"/>
                <w:color w:val="auto"/>
              </w:rPr>
              <w:t>CCT</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62,707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Abbvie,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Abiomed,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Advance Auto Parts,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2,710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Advanced Micro Devices,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3,779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Aegon N.V.</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Alphabet, Inc. Class A</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Alphabet, Inc. Class 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12,568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Altice USA,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Amazon.com,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17,767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Amedisys,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American Express Co.</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American Tower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6,520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AMETEK,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4,235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Anaplan,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Apache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Apple,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16,037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Ares Management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Aspen Technology,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4,483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AstraZeneca PLC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Avalara,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Avery Dennison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Axalta Coating Systems Ltd.</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Baker Hughes Co.</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6,305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Bank of America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12,116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Baxter International,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4,765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Berry Global Group,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Alnylam Pharmaceuticals,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Biomarin Pharmaceutical</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BJ's Wholesale Club Holdings I</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Booking Holdings,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7,085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Booz Allen Hamilton Holding Co.</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4,032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Boston Scientific Corp.</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5,236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Brighthouse Financial,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Bristol-Myers Squibb Co.</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10,206</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Broadcom,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Burlington Stores,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BWX Technologies,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9,081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00" w:type="dxa"/>
            <w:vAlign w:val="bottom"/>
          </w:tcPr>
          <w:p>
            <w:pPr>
              <w:ind w:left="120"/>
              <w:spacing w:after="0"/>
              <w:rPr>
                <w:sz w:val="20"/>
                <w:szCs w:val="20"/>
                <w:color w:val="auto"/>
              </w:rPr>
            </w:pPr>
            <w:r>
              <w:rPr>
                <w:rFonts w:ascii="Arial" w:cs="Arial" w:eastAsia="Arial" w:hAnsi="Arial"/>
                <w:sz w:val="16"/>
                <w:szCs w:val="16"/>
                <w:color w:val="auto"/>
              </w:rPr>
              <w:t>Cable One, Inc.</w:t>
            </w:r>
          </w:p>
        </w:tc>
        <w:tc>
          <w:tcPr>
            <w:tcW w:w="4700" w:type="dxa"/>
            <w:vAlign w:val="bottom"/>
          </w:tcPr>
          <w:p>
            <w:pPr>
              <w:ind w:left="10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3,912</w:t>
            </w:r>
          </w:p>
        </w:tc>
        <w:tc>
          <w:tcPr>
            <w:tcW w:w="0" w:type="dxa"/>
            <w:vAlign w:val="bottom"/>
          </w:tcPr>
          <w:p>
            <w:pPr>
              <w:spacing w:after="0"/>
              <w:rPr>
                <w:sz w:val="1"/>
                <w:szCs w:val="1"/>
                <w:color w:val="auto"/>
              </w:rPr>
            </w:pPr>
          </w:p>
        </w:tc>
      </w:tr>
    </w:tbl>
    <w:p>
      <w:pPr>
        <w:ind w:left="100" w:hanging="61"/>
        <w:spacing w:after="0" w:line="230" w:lineRule="auto"/>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Party-in-interest</w:t>
      </w:r>
    </w:p>
    <w:p>
      <w:pPr>
        <w:ind w:left="140" w:hanging="101"/>
        <w:spacing w:after="0" w:line="208" w:lineRule="auto"/>
        <w:tabs>
          <w:tab w:leader="none" w:pos="1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Cost information is not required for participant-directed investments and therefore is not included.</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 of 19</w:t>
      </w:r>
    </w:p>
    <w:p>
      <w:pPr>
        <w:sectPr>
          <w:pgSz w:w="11900" w:h="16838" w:orient="portrait"/>
          <w:cols w:equalWidth="0" w:num="1">
            <w:col w:w="11220"/>
          </w:cols>
          <w:pgMar w:left="320" w:top="126" w:right="3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260" w:type="dxa"/>
            <w:vAlign w:val="bottom"/>
          </w:tcPr>
          <w:p>
            <w:pPr>
              <w:ind w:left="440"/>
              <w:spacing w:after="0"/>
              <w:rPr>
                <w:sz w:val="20"/>
                <w:szCs w:val="20"/>
                <w:color w:val="auto"/>
              </w:rPr>
            </w:pPr>
            <w:r>
              <w:rPr>
                <w:rFonts w:ascii="Arial" w:cs="Arial" w:eastAsia="Arial" w:hAnsi="Arial"/>
                <w:sz w:val="16"/>
                <w:szCs w:val="16"/>
                <w:b w:val="1"/>
                <w:bCs w:val="1"/>
                <w:color w:val="auto"/>
              </w:rPr>
              <w:t>(b) Identity of issue, borrower, lessor, or similar</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(c) Description of investment including maturity date, rate</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6"/>
                <w:szCs w:val="16"/>
                <w:b w:val="1"/>
                <w:bCs w:val="1"/>
                <w:color w:val="auto"/>
              </w:rPr>
              <w:t>(a)   party</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of interest, collateral, par, or maturity value</w:t>
            </w:r>
          </w:p>
        </w:tc>
        <w:tc>
          <w:tcPr>
            <w:tcW w:w="10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260" w:type="dxa"/>
            <w:vAlign w:val="bottom"/>
          </w:tcPr>
          <w:p>
            <w:pPr>
              <w:ind w:left="440"/>
              <w:spacing w:after="0"/>
              <w:rPr>
                <w:sz w:val="20"/>
                <w:szCs w:val="20"/>
                <w:color w:val="auto"/>
              </w:rPr>
            </w:pPr>
            <w:r>
              <w:rPr>
                <w:rFonts w:ascii="Arial" w:cs="Arial" w:eastAsia="Arial" w:hAnsi="Arial"/>
                <w:sz w:val="16"/>
                <w:szCs w:val="16"/>
                <w:color w:val="auto"/>
              </w:rPr>
              <w:t>Capital One Financial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13,255</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CBOE Global Markets,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CDW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Celanese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3,607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Charter Communications,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12,273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Church &amp; Dwight Co.,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Cigna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Cisco Systems,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Cognizant Technology Solutions</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Comcast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17,116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Concho Resources,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Constellation Brands,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Copart,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Crown Holdings,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6,453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CSX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5,167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CVS Health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Dell Technologies,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3,618</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Delta Air Lines,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Dexcom,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Dish Network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Domino's Pizza,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2,651</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Eli Lilly &amp; Company</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Encompass Health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6,871</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Encore Capital Group,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Entegris,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Etsy,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Euronet Worldwide,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6,780</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Facebook,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15,087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Fedex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11,991</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Fidelity National Information Services,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4,220</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FirstCash,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3,446</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FirstService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Fiserv,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6,429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Fox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Generac Holdings,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Gilead Sciences,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Glaukos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GlaxoSmithKline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7,457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GoDaddy,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7,383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Grand Canyon Education,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5,920</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Guidewire Software,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2,832</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Halliburton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Halozyme Therapeutics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2,489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Harley-Davidson,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Healthcare Services Group,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HEICO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Hess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Hewlett Packard Enterprise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6,281</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Hilton Worldwide Holdings,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4,419</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Horizon Therapeutics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6,437</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7,823</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Humana,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6,055</w:t>
            </w:r>
          </w:p>
        </w:tc>
        <w:tc>
          <w:tcPr>
            <w:tcW w:w="0" w:type="dxa"/>
            <w:vAlign w:val="bottom"/>
          </w:tcPr>
          <w:p>
            <w:pPr>
              <w:spacing w:after="0"/>
              <w:rPr>
                <w:sz w:val="1"/>
                <w:szCs w:val="1"/>
                <w:color w:val="auto"/>
              </w:rPr>
            </w:pPr>
          </w:p>
        </w:tc>
      </w:tr>
      <w:tr>
        <w:trPr>
          <w:trHeight w:val="243"/>
        </w:trPr>
        <w:tc>
          <w:tcPr>
            <w:tcW w:w="4260" w:type="dxa"/>
            <w:vAlign w:val="bottom"/>
          </w:tcPr>
          <w:p>
            <w:pPr>
              <w:ind w:left="440"/>
              <w:spacing w:after="0"/>
              <w:rPr>
                <w:sz w:val="20"/>
                <w:szCs w:val="20"/>
                <w:color w:val="auto"/>
              </w:rPr>
            </w:pPr>
            <w:r>
              <w:rPr>
                <w:rFonts w:ascii="Arial" w:cs="Arial" w:eastAsia="Arial" w:hAnsi="Arial"/>
                <w:sz w:val="16"/>
                <w:szCs w:val="16"/>
                <w:color w:val="auto"/>
              </w:rPr>
              <w:t>Incyte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147" w:right="37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 of 20</w:t>
      </w:r>
    </w:p>
    <w:p>
      <w:pPr>
        <w:sectPr>
          <w:pgSz w:w="11900" w:h="16838" w:orient="portrait"/>
          <w:cols w:equalWidth="0" w:num="1">
            <w:col w:w="11160"/>
          </w:cols>
          <w:pgMar w:left="360" w:top="1147" w:right="37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w:t>
            </w: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(b) Identity of issue, borrower, lessor, or similar</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(c) Description of investment including maturity date, rate</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320" w:type="dxa"/>
            <w:vAlign w:val="bottom"/>
            <w:vMerge w:val="continue"/>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party</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of interest, collateral, par, or maturity value</w:t>
            </w:r>
          </w:p>
        </w:tc>
        <w:tc>
          <w:tcPr>
            <w:tcW w:w="10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Ingersoll-Rand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3,828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Inspire Medical Systems,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Insulet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6,470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Intercontintental Exchange,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Intuit,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iRhythm Technologies,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J2 Global,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Johnson Controls International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8,468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Jones Lang LaSalle,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3,534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JPMorgan Chase &amp;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Juniper Networks,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L3Harris Technologies,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Lam Research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Lamb Weston Holdings,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Ligand Pharmaceuticals,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3,067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Live Nation Entertainment,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5,892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LyondellBasell Industries NV</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Martin Marietta Materials,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Mattel,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Maxim Integrated Products,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Medtronic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Merck &amp; Co.,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8,067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MetLife,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Micro Focus International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Microchip Technology,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7,802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Microsoft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29,153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Molson Coors Beverage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Mondelez International,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Motorola Solutions,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4,507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National Instruments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National Oilwell Varco,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News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Nice Ltd.</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43"/>
        </w:trPr>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9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147,195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Novanta,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Novartis AG</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8,105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NXP Semiconductors NV</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Occidental Petroleum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11,419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Ollie's Bargain Outlet Holding</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O'Reilly Automotive,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6,487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Parsley Energy,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Penumbra,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Perspecta,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Philip Morris International IN</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4,926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Planet Fitness,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2,779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Portola Pharmaceuticals,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Proofpoint,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Pure Storage,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5,207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Qualys,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Qurate Retail,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Ritchie Bros Auctioneers,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Roche Holding AG</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8,266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Rogers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147" w:right="37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 of 20</w:t>
      </w:r>
    </w:p>
    <w:p>
      <w:pPr>
        <w:sectPr>
          <w:pgSz w:w="11900" w:h="16838" w:orient="portrait"/>
          <w:cols w:equalWidth="0" w:num="1">
            <w:col w:w="11160"/>
          </w:cols>
          <w:pgMar w:left="360" w:top="1147" w:right="37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1"/>
              </w:rPr>
              <w:t>(a)</w:t>
            </w: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(b) Identity of issue, borrower, lessor, or similar</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(c) Description of investment including maturity date, rate</w:t>
            </w:r>
          </w:p>
        </w:tc>
        <w:tc>
          <w:tcPr>
            <w:tcW w:w="10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320" w:type="dxa"/>
            <w:vAlign w:val="bottom"/>
            <w:vMerge w:val="continue"/>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party</w:t>
            </w:r>
          </w:p>
        </w:tc>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of interest, collateral, par, or maturity value</w:t>
            </w:r>
          </w:p>
        </w:tc>
        <w:tc>
          <w:tcPr>
            <w:tcW w:w="100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Roper Technologies,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S&amp;P Global,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Sabre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4,327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Salesforce.com,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6,320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Sanofi</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10,196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Schlumberger Ltd.</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Signature Bank/New York NY</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SiteOne Landscape Supply,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2,702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Sprint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State Street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Steris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3,946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Synopsys,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3,278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 Connectivity Ltd.</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6,421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Teledyne Technologies,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6,674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Teleflex,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3"/>
        </w:trPr>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940" w:type="dxa"/>
            <w:vAlign w:val="bottom"/>
          </w:tcPr>
          <w:p>
            <w:pPr>
              <w:ind w:left="120"/>
              <w:spacing w:after="0"/>
              <w:rPr>
                <w:sz w:val="20"/>
                <w:szCs w:val="20"/>
                <w:color w:val="auto"/>
              </w:rPr>
            </w:pPr>
            <w:r>
              <w:rPr>
                <w:rFonts w:ascii="Arial" w:cs="Arial" w:eastAsia="Arial" w:hAnsi="Arial"/>
                <w:sz w:val="16"/>
                <w:szCs w:val="16"/>
                <w:color w:val="auto"/>
              </w:rPr>
              <w:t>The Bank Of New York Mellon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Boeing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5,248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Brink's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Charles Schwab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14,772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Gap,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Goldman Sachs Group,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8,209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Progressive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TransUnion</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5,407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Trex Co.,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Truist Financial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4,979</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United Technologies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8,102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UnitedHealth Group,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7,350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Vail Resorts,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4,335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Varonis Systems,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2,138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Veracyte,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Vertex Pharmaceuticals,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4,356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VIRTU Financial,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Visa,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12,018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Wayfair,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Wells Fargo &amp; Co.</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14,225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WEX,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World Wrestling Entertainment</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Zynga,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3,384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ABBVIE INC 144A</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11/21/2029 - 3.200%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ABBVIE INC 144A</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11/21/2039 - 4.050%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ABBVIE INC 144A</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11/21/2049 - 4.250%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AT&amp;T,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11/15/2031 - Variable</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AT&amp;T,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2/15/2047- 5.650%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AT&amp;T,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3/1/2047 - 5.450%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AT&amp;T,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5/15/2046 - 4.750%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AT&amp;T, Inc.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9/1/2040 - 5.350%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Bank of America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11/25/2027 - 4.183%</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Bank of America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12/20/2023 - Variable</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Bank of America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3/3/2026 - 4.450%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Bank of America Corp.</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8/26/2024 - 4.200%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Barclays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5/12/2026 - 5.200%</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Barclays PLC</w:t>
            </w:r>
          </w:p>
        </w:tc>
        <w:tc>
          <w:tcPr>
            <w:tcW w:w="4760" w:type="dxa"/>
            <w:vAlign w:val="bottom"/>
          </w:tcPr>
          <w:p>
            <w:pPr>
              <w:ind w:left="160"/>
              <w:spacing w:after="0"/>
              <w:rPr>
                <w:sz w:val="20"/>
                <w:szCs w:val="20"/>
                <w:color w:val="auto"/>
              </w:rPr>
            </w:pPr>
            <w:r>
              <w:rPr>
                <w:rFonts w:ascii="Arial" w:cs="Arial" w:eastAsia="Arial" w:hAnsi="Arial"/>
                <w:sz w:val="16"/>
                <w:szCs w:val="16"/>
                <w:color w:val="auto"/>
              </w:rPr>
              <w:t>Corporate Debt - due 5/9/2028 - 4.836%</w:t>
            </w: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147" w:right="37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 of 20</w:t>
      </w:r>
    </w:p>
    <w:p>
      <w:pPr>
        <w:sectPr>
          <w:pgSz w:w="11900" w:h="16838" w:orient="portrait"/>
          <w:cols w:equalWidth="0" w:num="1">
            <w:col w:w="11160"/>
          </w:cols>
          <w:pgMar w:left="360" w:top="1147" w:right="379" w:bottom="1440" w:gutter="0" w:footer="0" w:header="0"/>
          <w:type w:val="continuous"/>
        </w:sectPr>
      </w:pPr>
    </w:p>
    <w:bookmarkStart w:id="20" w:name="page21"/>
    <w:bookmarkEnd w:id="20"/>
    <w:p>
      <w:pPr>
        <w:ind w:left="441"/>
        <w:spacing w:after="0"/>
        <w:rPr>
          <w:sz w:val="20"/>
          <w:szCs w:val="20"/>
          <w:color w:val="auto"/>
        </w:rPr>
      </w:pPr>
      <w:r>
        <w:rPr>
          <w:rFonts w:ascii="Arial" w:cs="Arial" w:eastAsia="Arial" w:hAnsi="Arial"/>
          <w:sz w:val="16"/>
          <w:szCs w:val="16"/>
          <w:b w:val="1"/>
          <w:bCs w:val="1"/>
          <w:color w:val="auto"/>
        </w:rPr>
        <w:t>(b) Identity of issue, borrower, lessor, or similar</w:t>
      </w:r>
    </w:p>
    <w:p>
      <w:pPr>
        <w:spacing w:after="0" w:line="25" w:lineRule="exact"/>
        <w:rPr>
          <w:sz w:val="20"/>
          <w:szCs w:val="20"/>
          <w:color w:val="auto"/>
        </w:rPr>
      </w:pPr>
    </w:p>
    <w:p>
      <w:pPr>
        <w:ind w:left="441" w:right="2680" w:hanging="441"/>
        <w:spacing w:after="0" w:line="316" w:lineRule="auto"/>
        <w:tabs>
          <w:tab w:leader="none" w:pos="44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party </w:t>
      </w:r>
      <w:r>
        <w:rPr>
          <w:rFonts w:ascii="Arial" w:cs="Arial" w:eastAsia="Arial" w:hAnsi="Arial"/>
          <w:sz w:val="16"/>
          <w:szCs w:val="16"/>
          <w:color w:val="auto"/>
        </w:rPr>
        <w:t>Barclays PLC</w:t>
      </w:r>
    </w:p>
    <w:p>
      <w:pPr>
        <w:spacing w:after="0" w:line="1" w:lineRule="exact"/>
        <w:rPr>
          <w:rFonts w:ascii="Arial" w:cs="Arial" w:eastAsia="Arial" w:hAnsi="Arial"/>
          <w:sz w:val="16"/>
          <w:szCs w:val="16"/>
          <w:b w:val="1"/>
          <w:bCs w:val="1"/>
          <w:color w:val="auto"/>
        </w:rPr>
      </w:pPr>
    </w:p>
    <w:p>
      <w:pPr>
        <w:jc w:val="both"/>
        <w:ind w:left="441" w:right="13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Bayer U.S. Finance II LLC 144A Bayer U.S. Finance II LLC 144A BNP Paribas S.A.</w:t>
      </w:r>
    </w:p>
    <w:p>
      <w:pPr>
        <w:spacing w:after="0" w:line="2" w:lineRule="exact"/>
        <w:rPr>
          <w:rFonts w:ascii="Arial" w:cs="Arial" w:eastAsia="Arial" w:hAnsi="Arial"/>
          <w:sz w:val="16"/>
          <w:szCs w:val="16"/>
          <w:b w:val="1"/>
          <w:bCs w:val="1"/>
          <w:color w:val="auto"/>
        </w:rPr>
      </w:pPr>
    </w:p>
    <w:p>
      <w:pPr>
        <w:jc w:val="both"/>
        <w:ind w:left="441" w:right="196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BNP Paribas S.A. 144A BNP Paribas S.A. 144A BNSF Railway Co.</w:t>
      </w:r>
    </w:p>
    <w:p>
      <w:pPr>
        <w:spacing w:after="0" w:line="2" w:lineRule="exact"/>
        <w:rPr>
          <w:rFonts w:ascii="Arial" w:cs="Arial" w:eastAsia="Arial" w:hAnsi="Arial"/>
          <w:sz w:val="16"/>
          <w:szCs w:val="16"/>
          <w:b w:val="1"/>
          <w:bCs w:val="1"/>
          <w:color w:val="auto"/>
        </w:rPr>
      </w:pPr>
    </w:p>
    <w:p>
      <w:pPr>
        <w:ind w:left="441" w:right="1200"/>
        <w:spacing w:after="0" w:line="319" w:lineRule="auto"/>
        <w:rPr>
          <w:rFonts w:ascii="Arial" w:cs="Arial" w:eastAsia="Arial" w:hAnsi="Arial"/>
          <w:sz w:val="16"/>
          <w:szCs w:val="16"/>
          <w:b w:val="1"/>
          <w:bCs w:val="1"/>
          <w:color w:val="auto"/>
        </w:rPr>
      </w:pPr>
      <w:r>
        <w:rPr>
          <w:rFonts w:ascii="Arial" w:cs="Arial" w:eastAsia="Arial" w:hAnsi="Arial"/>
          <w:sz w:val="16"/>
          <w:szCs w:val="16"/>
          <w:color w:val="auto"/>
        </w:rPr>
        <w:t>Boston Properties LP Boston Properties LP Boston Properties LP Boston Properties LP Boston Properties LP Burlington Northern Santa Fe LLC Burlington Northern Santa Fe LLC Capital One Financial Corp. Capital One Financial Corp. CEMEX Finance LLC 144A CEMEX SAB de CV 144A CEMEX SAB de CV 144A</w:t>
      </w:r>
    </w:p>
    <w:p>
      <w:pPr>
        <w:spacing w:after="0" w:line="200" w:lineRule="exact"/>
        <w:rPr>
          <w:rFonts w:ascii="Arial" w:cs="Arial" w:eastAsia="Arial" w:hAnsi="Arial"/>
          <w:sz w:val="16"/>
          <w:szCs w:val="16"/>
          <w:b w:val="1"/>
          <w:bCs w:val="1"/>
          <w:color w:val="auto"/>
        </w:rPr>
      </w:pPr>
    </w:p>
    <w:p>
      <w:pPr>
        <w:spacing w:after="0" w:line="270" w:lineRule="exact"/>
        <w:rPr>
          <w:rFonts w:ascii="Arial" w:cs="Arial" w:eastAsia="Arial" w:hAnsi="Arial"/>
          <w:sz w:val="16"/>
          <w:szCs w:val="16"/>
          <w:b w:val="1"/>
          <w:bCs w:val="1"/>
          <w:color w:val="auto"/>
        </w:rPr>
      </w:pPr>
    </w:p>
    <w:p>
      <w:pPr>
        <w:jc w:val="both"/>
        <w:ind w:left="441" w:right="76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Charter Communications Operating LLC Charter Communications Operating LLC Charter Communications Operating LLC Cigna Corp.</w:t>
      </w:r>
    </w:p>
    <w:p>
      <w:pPr>
        <w:spacing w:after="0" w:line="3" w:lineRule="exact"/>
        <w:rPr>
          <w:rFonts w:ascii="Arial" w:cs="Arial" w:eastAsia="Arial" w:hAnsi="Arial"/>
          <w:sz w:val="16"/>
          <w:szCs w:val="16"/>
          <w:b w:val="1"/>
          <w:bCs w:val="1"/>
          <w:color w:val="auto"/>
        </w:rPr>
      </w:pPr>
    </w:p>
    <w:p>
      <w:pPr>
        <w:ind w:left="441" w:right="23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Cigna Corp. Cigna Corp. 144A Cigna Corp. 144A Cigna Holding Co. Citigroup, Inc. Citigroup, Inc.</w:t>
      </w:r>
    </w:p>
    <w:p>
      <w:pPr>
        <w:spacing w:after="0" w:line="4" w:lineRule="exact"/>
        <w:rPr>
          <w:rFonts w:ascii="Arial" w:cs="Arial" w:eastAsia="Arial" w:hAnsi="Arial"/>
          <w:sz w:val="16"/>
          <w:szCs w:val="16"/>
          <w:b w:val="1"/>
          <w:bCs w:val="1"/>
          <w:color w:val="auto"/>
        </w:rPr>
      </w:pPr>
    </w:p>
    <w:p>
      <w:pPr>
        <w:jc w:val="both"/>
        <w:ind w:left="441" w:right="13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Cox Communications, Inc. 144A Cox Communications, Inc. 144A CRH America, Inc. 144A</w:t>
      </w:r>
    </w:p>
    <w:p>
      <w:pPr>
        <w:spacing w:after="0" w:line="2" w:lineRule="exact"/>
        <w:rPr>
          <w:rFonts w:ascii="Arial" w:cs="Arial" w:eastAsia="Arial" w:hAnsi="Arial"/>
          <w:sz w:val="16"/>
          <w:szCs w:val="16"/>
          <w:b w:val="1"/>
          <w:bCs w:val="1"/>
          <w:color w:val="auto"/>
        </w:rPr>
      </w:pPr>
    </w:p>
    <w:p>
      <w:pPr>
        <w:ind w:left="441" w:right="18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CSX Transportation, Inc. CVS Health Corp.</w:t>
      </w:r>
    </w:p>
    <w:p>
      <w:pPr>
        <w:spacing w:after="0" w:line="1" w:lineRule="exact"/>
        <w:rPr>
          <w:rFonts w:ascii="Arial" w:cs="Arial" w:eastAsia="Arial" w:hAnsi="Arial"/>
          <w:sz w:val="16"/>
          <w:szCs w:val="16"/>
          <w:b w:val="1"/>
          <w:bCs w:val="1"/>
          <w:color w:val="auto"/>
        </w:rPr>
      </w:pPr>
    </w:p>
    <w:p>
      <w:pPr>
        <w:jc w:val="both"/>
        <w:ind w:left="441" w:right="236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CVS Health Corp. CVS Health Corp.</w:t>
      </w:r>
    </w:p>
    <w:p>
      <w:pPr>
        <w:spacing w:after="0" w:line="1" w:lineRule="exact"/>
        <w:rPr>
          <w:rFonts w:ascii="Arial" w:cs="Arial" w:eastAsia="Arial" w:hAnsi="Arial"/>
          <w:sz w:val="16"/>
          <w:szCs w:val="16"/>
          <w:b w:val="1"/>
          <w:bCs w:val="1"/>
          <w:color w:val="auto"/>
        </w:rPr>
      </w:pPr>
    </w:p>
    <w:p>
      <w:pPr>
        <w:ind w:left="441" w:right="16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Dell International LLC 144A Dillard's, Inc.</w:t>
      </w:r>
    </w:p>
    <w:p>
      <w:pPr>
        <w:spacing w:after="0" w:line="1" w:lineRule="exact"/>
        <w:rPr>
          <w:rFonts w:ascii="Arial" w:cs="Arial" w:eastAsia="Arial" w:hAnsi="Arial"/>
          <w:sz w:val="16"/>
          <w:szCs w:val="16"/>
          <w:b w:val="1"/>
          <w:bCs w:val="1"/>
          <w:color w:val="auto"/>
        </w:rPr>
      </w:pPr>
    </w:p>
    <w:p>
      <w:pPr>
        <w:jc w:val="both"/>
        <w:ind w:left="441" w:right="20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Dominion Energy, Inc. Dominion Energy, Inc. Dominion Energy, Inc.</w:t>
      </w:r>
    </w:p>
    <w:p>
      <w:pPr>
        <w:spacing w:after="0" w:line="2" w:lineRule="exact"/>
        <w:rPr>
          <w:rFonts w:ascii="Arial" w:cs="Arial" w:eastAsia="Arial" w:hAnsi="Arial"/>
          <w:sz w:val="16"/>
          <w:szCs w:val="16"/>
          <w:b w:val="1"/>
          <w:bCs w:val="1"/>
          <w:color w:val="auto"/>
        </w:rPr>
      </w:pPr>
    </w:p>
    <w:p>
      <w:pPr>
        <w:jc w:val="both"/>
        <w:ind w:left="441" w:right="176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Elanco Animal Health, Inc. Elanco Animal Health, Inc. Elanco Animal Health, Inc.</w:t>
      </w:r>
    </w:p>
    <w:p>
      <w:pPr>
        <w:spacing w:after="0" w:line="2" w:lineRule="exact"/>
        <w:rPr>
          <w:rFonts w:ascii="Arial" w:cs="Arial" w:eastAsia="Arial" w:hAnsi="Arial"/>
          <w:sz w:val="16"/>
          <w:szCs w:val="16"/>
          <w:b w:val="1"/>
          <w:bCs w:val="1"/>
          <w:color w:val="auto"/>
        </w:rPr>
      </w:pPr>
    </w:p>
    <w:p>
      <w:pPr>
        <w:jc w:val="both"/>
        <w:ind w:left="441" w:right="13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Enel Finance International 144A Enel Finance International 144A Enel Finance International 144A ERP Operating LP</w:t>
      </w:r>
    </w:p>
    <w:p>
      <w:pPr>
        <w:spacing w:after="0" w:line="3" w:lineRule="exact"/>
        <w:rPr>
          <w:rFonts w:ascii="Arial" w:cs="Arial" w:eastAsia="Arial" w:hAnsi="Arial"/>
          <w:sz w:val="16"/>
          <w:szCs w:val="16"/>
          <w:b w:val="1"/>
          <w:bCs w:val="1"/>
          <w:color w:val="auto"/>
        </w:rPr>
      </w:pPr>
    </w:p>
    <w:p>
      <w:pPr>
        <w:ind w:left="441" w:right="1220"/>
        <w:spacing w:after="0" w:line="320" w:lineRule="auto"/>
        <w:rPr>
          <w:rFonts w:ascii="Arial" w:cs="Arial" w:eastAsia="Arial" w:hAnsi="Arial"/>
          <w:sz w:val="16"/>
          <w:szCs w:val="16"/>
          <w:b w:val="1"/>
          <w:bCs w:val="1"/>
          <w:color w:val="auto"/>
        </w:rPr>
      </w:pPr>
      <w:r>
        <w:rPr>
          <w:rFonts w:ascii="Arial" w:cs="Arial" w:eastAsia="Arial" w:hAnsi="Arial"/>
          <w:sz w:val="16"/>
          <w:szCs w:val="16"/>
          <w:color w:val="auto"/>
        </w:rPr>
        <w:t>Federal Express Corp. 1998 Pass Ford Motor Credit Co. LLC Ford Motor Credit Co. LLC Ford Motor Credit Co. LLC Ford Motor Credit Co. LLC</w:t>
      </w:r>
    </w:p>
    <w:p>
      <w:pPr>
        <w:spacing w:after="0" w:line="20" w:lineRule="exact"/>
        <w:rPr>
          <w:sz w:val="20"/>
          <w:szCs w:val="20"/>
          <w:color w:val="auto"/>
        </w:rPr>
      </w:pPr>
      <w:r>
        <w:rPr>
          <w:sz w:val="20"/>
          <w:szCs w:val="20"/>
          <w:color w:val="auto"/>
        </w:rPr>
        <w:br w:type="column"/>
      </w:r>
    </w:p>
    <w:p>
      <w:pPr>
        <w:ind w:left="6" w:hanging="6"/>
        <w:spacing w:after="0" w:line="286" w:lineRule="auto"/>
        <w:tabs>
          <w:tab w:leader="none" w:pos="24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investment including maturity date, rate of interest, collateral, par, or maturity value</w:t>
      </w:r>
    </w:p>
    <w:p>
      <w:pPr>
        <w:spacing w:after="0" w:line="14" w:lineRule="exact"/>
        <w:rPr>
          <w:sz w:val="20"/>
          <w:szCs w:val="20"/>
          <w:color w:val="auto"/>
        </w:rPr>
      </w:pPr>
    </w:p>
    <w:p>
      <w:pPr>
        <w:ind w:left="6" w:right="1380"/>
        <w:spacing w:after="0" w:line="317" w:lineRule="auto"/>
        <w:rPr>
          <w:sz w:val="20"/>
          <w:szCs w:val="20"/>
          <w:color w:val="auto"/>
        </w:rPr>
      </w:pPr>
      <w:r>
        <w:rPr>
          <w:rFonts w:ascii="Arial" w:cs="Arial" w:eastAsia="Arial" w:hAnsi="Arial"/>
          <w:sz w:val="16"/>
          <w:szCs w:val="16"/>
          <w:color w:val="auto"/>
        </w:rPr>
        <w:t>Corporate Debt - due 9/11/2024 - 4.375% Corporate Debt - due 12/15/2025 - 4.250% Corporate Debt - due 12/15/2028 - 4.375% Corporate Debt - due 10/15/2024 - 4.250% Corporate Debt - due 3/13/2027 - 4.625% Corporate Debt - due 9/28/2025 - 4.375% Corporate Debt - due 4/1/2024 - 5.996% Corporate Debt - due 1/15/2025 - 3.200% Corporate Debt - due 12/1/2028 - 4.500% Corporate Debt - due 2/1/2023 - 3.850% Corporate Debt - due 2/1/2026 - 3.650% Corporate Debt - due 5/15/2021 - 4.125% Corporate Debt - due 1/15/2021 - 8.251% Corporate Debt - due 9/1/2023 - 3.850% Corporate Debt - due 10/29/2025 - 4.200% Corporate Debt - due 2/5/2025 - 3.200% Corporate Debt - due 4/1/2024 - 6.000% Corporate Debt - due 1/11/2025 - 5.700% Corporate Debt - due 5/5/2025 - 6.125% Corporate Debt - due 10/23/2045 - 6.484% Corporate Debt - due 4/1/2048 - 5.750% Corporate Debt - due 5/1/2047 - 5.375% Corporate Debt - due 11/15/2025 - 4.125% Corporate Debt - due 7/15/2023 - 3.750% Corporate Debt - due 2/15/2022 - 4.000% Corporate Debt - due 5/15/2027 - 7.875% Corporate Debt - due 6/15/2020 - 5.125% Corporate Debt - due 5/15/2023 - 3.500% Corporate Debt - due 8/5/2024 - 4.000% Corporate Debt - due 2/1/2025 - 3.850% Corporate Debt - due 8/15/2027 - 3.500% Corporate Debt - due 5/18/2025 - 3.875% Corporate Debt - due 1/15/2023 - 6.251% Corporate debt - due 3/25/2025 - 4.100% Corporate debt - due 3/25/2028 - 4.300% Corporate debt - due 3/25/2038 - 4.780% Corporate Debt - due 6/15/2023 - 5.450% Corporate Debt - due 5/15/2027 - 7.750% Corporate Debt - due 10/1/2054 - Variable Corporate Debt - due 4/1/2021 - Variable Corporate Debt - due 7/1/2020 - Variable Corporate Debt - due 8/27/2021 - Variable Corporate Debt - due 8/28/2023 - Variable Corporate Debt - due 8/28/2028 - Variable Corporate Debt - due 10/7/2039 - 6.000% Corporate Debt - due 9/14/2025 - 4.625% Corporate Debt - due 9/15/2037 - 6.800% Corporate Debt - due 4/15/2023 - 3.000% Corporate Debt - due 7/15/2023 - 6.720% Corporate Debt - due 1/15/2020 - 8.125% Corporate Debt - due 1/7/2022 - 5.596% Corporate Debt - due 10/12/2021 - 3.813% Corporate Debt - due 2/1/2021 - 5.750%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0" w:hanging="1358"/>
        <w:spacing w:after="0"/>
        <w:tabs>
          <w:tab w:leader="none" w:pos="1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1,860</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r>
    </w:tbl>
    <w:p>
      <w:pPr>
        <w:spacing w:after="0" w:line="48" w:lineRule="exact"/>
        <w:rPr>
          <w:sz w:val="20"/>
          <w:szCs w:val="20"/>
          <w:color w:val="auto"/>
        </w:rPr>
      </w:pPr>
    </w:p>
    <w:p>
      <w:pPr>
        <w:ind w:left="1600" w:hanging="1358"/>
        <w:spacing w:after="0"/>
        <w:tabs>
          <w:tab w:leader="none" w:pos="1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1,075</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206</w:t>
            </w:r>
          </w:p>
        </w:tc>
      </w:tr>
    </w:tbl>
    <w:p>
      <w:pPr>
        <w:spacing w:after="0" w:line="259" w:lineRule="exact"/>
        <w:rPr>
          <w:sz w:val="20"/>
          <w:szCs w:val="20"/>
          <w:color w:val="auto"/>
        </w:rPr>
      </w:pPr>
    </w:p>
    <w:p>
      <w:pPr>
        <w:sectPr>
          <w:pgSz w:w="11900" w:h="16838" w:orient="portrait"/>
          <w:cols w:equalWidth="0" w:num="3">
            <w:col w:w="4101" w:space="314"/>
            <w:col w:w="4446" w:space="300"/>
            <w:col w:w="2000"/>
          </w:cols>
          <w:pgMar w:left="359" w:top="1147" w:right="37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 of 20</w:t>
      </w:r>
    </w:p>
    <w:p>
      <w:pPr>
        <w:sectPr>
          <w:pgSz w:w="11900" w:h="16838" w:orient="portrait"/>
          <w:cols w:equalWidth="0" w:num="1">
            <w:col w:w="11161"/>
          </w:cols>
          <w:pgMar w:left="359" w:top="1147" w:right="37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(b) Identity of issue, borrower, lessor, or similar</w:t>
            </w:r>
          </w:p>
        </w:tc>
        <w:tc>
          <w:tcPr>
            <w:tcW w:w="4600" w:type="dxa"/>
            <w:vAlign w:val="bottom"/>
          </w:tcPr>
          <w:p>
            <w:pPr>
              <w:ind w:left="160"/>
              <w:spacing w:after="0"/>
              <w:rPr>
                <w:sz w:val="20"/>
                <w:szCs w:val="20"/>
                <w:color w:val="auto"/>
              </w:rPr>
            </w:pPr>
            <w:r>
              <w:rPr>
                <w:rFonts w:ascii="Arial" w:cs="Arial" w:eastAsia="Arial" w:hAnsi="Arial"/>
                <w:sz w:val="16"/>
                <w:szCs w:val="16"/>
                <w:b w:val="1"/>
                <w:bCs w:val="1"/>
                <w:color w:val="auto"/>
              </w:rPr>
              <w:t>(c) Description of investment including maturity date, rate</w:t>
            </w:r>
          </w:p>
        </w:tc>
      </w:tr>
      <w:tr>
        <w:trPr>
          <w:trHeight w:val="215"/>
        </w:trPr>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w:t>
            </w:r>
          </w:p>
        </w:tc>
        <w:tc>
          <w:tcPr>
            <w:tcW w:w="3940" w:type="dxa"/>
            <w:vAlign w:val="bottom"/>
          </w:tcPr>
          <w:p>
            <w:pPr>
              <w:ind w:left="120"/>
              <w:spacing w:after="0"/>
              <w:rPr>
                <w:sz w:val="20"/>
                <w:szCs w:val="20"/>
                <w:color w:val="auto"/>
              </w:rPr>
            </w:pPr>
            <w:r>
              <w:rPr>
                <w:rFonts w:ascii="Arial" w:cs="Arial" w:eastAsia="Arial" w:hAnsi="Arial"/>
                <w:sz w:val="16"/>
                <w:szCs w:val="16"/>
                <w:b w:val="1"/>
                <w:bCs w:val="1"/>
                <w:color w:val="auto"/>
              </w:rPr>
              <w:t>party</w:t>
            </w:r>
          </w:p>
        </w:tc>
        <w:tc>
          <w:tcPr>
            <w:tcW w:w="4600" w:type="dxa"/>
            <w:vAlign w:val="bottom"/>
          </w:tcPr>
          <w:p>
            <w:pPr>
              <w:ind w:left="160"/>
              <w:spacing w:after="0"/>
              <w:rPr>
                <w:sz w:val="20"/>
                <w:szCs w:val="20"/>
                <w:color w:val="auto"/>
              </w:rPr>
            </w:pPr>
            <w:r>
              <w:rPr>
                <w:rFonts w:ascii="Arial" w:cs="Arial" w:eastAsia="Arial" w:hAnsi="Arial"/>
                <w:sz w:val="16"/>
                <w:szCs w:val="16"/>
                <w:b w:val="1"/>
                <w:bCs w:val="1"/>
                <w:color w:val="auto"/>
              </w:rPr>
              <w:t>of interest, collateral, par, or maturity value</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Ford Motor Credit Co. LLC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8/2/2021 - 5.875%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Ford Motor Credit Co. LLC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8/6/2023 - 4.375%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HCA,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6/15/2029 - 4.125%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HCA,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6/15/2039 - 5.125%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HCA,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6/15/2049 - 5.250%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HSBC Holdings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1/5/2022 - 2.650%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HSBC Holdings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3/8/2026 - 4.300%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HSBC Holdings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4/5/2021 - 5.100%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HSBC Holdings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5/2/2036 - 6.500%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HSBC Holdings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9/15/2037 - 6.500%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Imperial Brands Finance PLC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7/21/2025 - 4.250%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Imperial Brands Finance PLC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7/26/2029 - 3.875%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JPMorgan Chase &amp;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10/1/2027 - 4.250%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JPMorgan Chase &amp;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12/15/2026 - 4.125%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JPMorgan Chase &amp;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Corprorate Debt - Due 7/23/2024 - Variable</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Kinder Morgan Energy Partners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8/15/2042 - 5.000%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Kinder Morgan Energy Partners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9/1/2039 - 6.500%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Kinder Morgan Energy Partners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9/1/2044 - 5.400%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Lloyds Banking Group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11/4/2024 - 4.500%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Lloyds Banking Group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3/24/2026 - 4.650%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Macy's Retail Holdings,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3/15/2037 - 6.375%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Macy's Retail Holdings,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9/15/2028 - 6.700%</w:t>
            </w:r>
          </w:p>
        </w:tc>
      </w:tr>
      <w:tr>
        <w:trPr>
          <w:trHeight w:val="243"/>
        </w:trPr>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9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Corprorate Debt - due 3/15/2028 - 6.950%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Occidental Petroleum Corp.</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8/15/2024 - 2.900%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Occidental Petroleum Corp.</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8/15/2026 - 3.200%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Petrobras Global Finance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1/15/2030 - 5.093%</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Petrobras Global Finance B.V.</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3/17/2044 - 7.250%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Petrobras Global Finance B.V.</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3/19/2049 - 6.900%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1/23/2030 - 6.840%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1/23/2045 - 6.375%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3/13/2027 - 6.500%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6/15/2035 - 6.625%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8/4/2026 - 6.875%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Petroleos Mexicanos</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9/21/2047 - 6.750%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PROSUS NV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7/21/2025 - 5.500%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PROSUS NV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7/6/2027 - 4.850%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PROSUS NV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7/18/2020 - 6.000%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RELX Capital,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10/15/2022 - 3.125%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RELX Capital, Inc.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3/18/2029 - 4.000%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Rio Oil Finance Trust Series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1/6/2027 - 9.750%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Rio Oil Finance Trust Series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4/6/2028 - 8.200%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Rio Oil Finance Trust Series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7/6/2024 - 9.250%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Royal Bank of Scotland Group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12/15/2022 - 6.125%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Royal Bank of Scotland Group PLC</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12/19/2023 - 6.000%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SLM Student Loan Trust 2 9 A7A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1/25/2041 - Variable</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SLM Student Loan Trust 20 3 A6</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4/25/2040 - Variable</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SLM Student Loan Trust 20 8 A6</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1/25/2041 - Variable</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Telecom Italia Capital S.A.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6/4/2038 - 7.721%</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Telecom Italia Capital S.A.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7/18/2036 - 7.200%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Telecom Italia SPA 144A</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5/30/2024 - 5.303%</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Dow Chemical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11/1/2029 - 7.375%</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Dow Chemical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11/30/2048 - 5.550%</w:t>
            </w:r>
          </w:p>
        </w:tc>
      </w:tr>
      <w:tr>
        <w:trPr>
          <w:trHeight w:val="243"/>
        </w:trPr>
        <w:tc>
          <w:tcPr>
            <w:tcW w:w="320" w:type="dxa"/>
            <w:vAlign w:val="bottom"/>
          </w:tcPr>
          <w:p>
            <w:pPr>
              <w:spacing w:after="0"/>
              <w:rPr>
                <w:sz w:val="21"/>
                <w:szCs w:val="21"/>
                <w:color w:val="auto"/>
              </w:rPr>
            </w:pPr>
          </w:p>
        </w:tc>
        <w:tc>
          <w:tcPr>
            <w:tcW w:w="3940" w:type="dxa"/>
            <w:vAlign w:val="bottom"/>
          </w:tcPr>
          <w:p>
            <w:pPr>
              <w:ind w:left="120"/>
              <w:spacing w:after="0"/>
              <w:rPr>
                <w:sz w:val="20"/>
                <w:szCs w:val="20"/>
                <w:color w:val="auto"/>
              </w:rPr>
            </w:pPr>
            <w:r>
              <w:rPr>
                <w:rFonts w:ascii="Arial" w:cs="Arial" w:eastAsia="Arial" w:hAnsi="Arial"/>
                <w:sz w:val="16"/>
                <w:szCs w:val="16"/>
                <w:color w:val="auto"/>
              </w:rPr>
              <w:t>The Dow Chemical Co.</w:t>
            </w:r>
          </w:p>
        </w:tc>
        <w:tc>
          <w:tcPr>
            <w:tcW w:w="4600" w:type="dxa"/>
            <w:vAlign w:val="bottom"/>
          </w:tcPr>
          <w:p>
            <w:pPr>
              <w:ind w:left="160"/>
              <w:spacing w:after="0"/>
              <w:rPr>
                <w:sz w:val="20"/>
                <w:szCs w:val="20"/>
                <w:color w:val="auto"/>
              </w:rPr>
            </w:pPr>
            <w:r>
              <w:rPr>
                <w:rFonts w:ascii="Arial" w:cs="Arial" w:eastAsia="Arial" w:hAnsi="Arial"/>
                <w:sz w:val="16"/>
                <w:szCs w:val="16"/>
                <w:color w:val="auto"/>
              </w:rPr>
              <w:t>Corporate Debt - due 5/15/2039 - 9.400%</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0" w:hanging="1358"/>
        <w:spacing w:after="0"/>
        <w:tabs>
          <w:tab w:leader="none" w:pos="1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1,196</w:t>
      </w:r>
    </w:p>
    <w:p>
      <w:pPr>
        <w:spacing w:after="0" w:line="71"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553</w:t>
      </w:r>
    </w:p>
    <w:p>
      <w:pPr>
        <w:spacing w:after="0" w:line="71" w:lineRule="exact"/>
        <w:rPr>
          <w:sz w:val="20"/>
          <w:szCs w:val="20"/>
          <w:color w:val="auto"/>
        </w:rPr>
      </w:pPr>
    </w:p>
    <w:p>
      <w:pPr>
        <w:ind w:left="1600" w:hanging="1358"/>
        <w:spacing w:after="0"/>
        <w:tabs>
          <w:tab w:leader="none" w:pos="1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1,557</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272</w:t>
            </w:r>
          </w:p>
        </w:tc>
      </w:tr>
    </w:tbl>
    <w:p>
      <w:pPr>
        <w:spacing w:after="0" w:line="48" w:lineRule="exact"/>
        <w:rPr>
          <w:sz w:val="20"/>
          <w:szCs w:val="20"/>
          <w:color w:val="auto"/>
        </w:rPr>
      </w:pPr>
    </w:p>
    <w:p>
      <w:pPr>
        <w:ind w:left="1600" w:hanging="1358"/>
        <w:spacing w:after="0"/>
        <w:tabs>
          <w:tab w:leader="none" w:pos="1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1,012</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937</w:t>
            </w:r>
          </w:p>
        </w:tc>
      </w:tr>
    </w:tbl>
    <w:p>
      <w:pPr>
        <w:spacing w:after="0" w:line="48" w:lineRule="exact"/>
        <w:rPr>
          <w:sz w:val="20"/>
          <w:szCs w:val="20"/>
          <w:color w:val="auto"/>
        </w:rPr>
      </w:pPr>
    </w:p>
    <w:p>
      <w:pPr>
        <w:ind w:left="1600" w:hanging="1358"/>
        <w:spacing w:after="0"/>
        <w:tabs>
          <w:tab w:leader="none" w:pos="1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1,259</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743</w:t>
            </w:r>
          </w:p>
        </w:tc>
      </w:tr>
    </w:tbl>
    <w:p>
      <w:pPr>
        <w:spacing w:after="0" w:line="48" w:lineRule="exact"/>
        <w:rPr>
          <w:sz w:val="20"/>
          <w:szCs w:val="20"/>
          <w:color w:val="auto"/>
        </w:rPr>
      </w:pPr>
    </w:p>
    <w:p>
      <w:pPr>
        <w:ind w:left="1600" w:hanging="1358"/>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4,199</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4,423</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573</w:t>
            </w:r>
          </w:p>
        </w:tc>
      </w:tr>
    </w:tbl>
    <w:p>
      <w:pPr>
        <w:spacing w:after="0" w:line="200" w:lineRule="exact"/>
        <w:rPr>
          <w:sz w:val="20"/>
          <w:szCs w:val="20"/>
          <w:color w:val="auto"/>
        </w:rPr>
      </w:pPr>
    </w:p>
    <w:p>
      <w:pPr>
        <w:sectPr>
          <w:pgSz w:w="11900" w:h="16838" w:orient="portrait"/>
          <w:cols w:equalWidth="0" w:num="2">
            <w:col w:w="8860" w:space="300"/>
            <w:col w:w="2000"/>
          </w:cols>
          <w:pgMar w:left="360" w:top="1147" w:right="37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 of 20</w:t>
      </w:r>
    </w:p>
    <w:p>
      <w:pPr>
        <w:sectPr>
          <w:pgSz w:w="11900" w:h="16838" w:orient="portrait"/>
          <w:cols w:equalWidth="0" w:num="1">
            <w:col w:w="11160"/>
          </w:cols>
          <w:pgMar w:left="360" w:top="1147" w:right="379" w:bottom="1440" w:gutter="0" w:footer="0" w:header="0"/>
          <w:type w:val="continuous"/>
        </w:sectPr>
      </w:pPr>
    </w:p>
    <w:bookmarkStart w:id="22" w:name="page23"/>
    <w:bookmarkEnd w:id="22"/>
    <w:p>
      <w:pPr>
        <w:ind w:left="441"/>
        <w:spacing w:after="0"/>
        <w:rPr>
          <w:sz w:val="20"/>
          <w:szCs w:val="20"/>
          <w:color w:val="auto"/>
        </w:rPr>
      </w:pPr>
      <w:r>
        <w:rPr>
          <w:rFonts w:ascii="Arial" w:cs="Arial" w:eastAsia="Arial" w:hAnsi="Arial"/>
          <w:sz w:val="16"/>
          <w:szCs w:val="16"/>
          <w:b w:val="1"/>
          <w:bCs w:val="1"/>
          <w:color w:val="auto"/>
        </w:rPr>
        <w:t>(b) Identity of issue, borrower, lessor, or similar</w:t>
      </w:r>
    </w:p>
    <w:p>
      <w:pPr>
        <w:spacing w:after="0" w:line="25" w:lineRule="exact"/>
        <w:rPr>
          <w:sz w:val="20"/>
          <w:szCs w:val="20"/>
          <w:color w:val="auto"/>
        </w:rPr>
      </w:pPr>
    </w:p>
    <w:p>
      <w:pPr>
        <w:ind w:left="441" w:hanging="441"/>
        <w:spacing w:after="0"/>
        <w:tabs>
          <w:tab w:leader="none" w:pos="441"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party</w:t>
      </w:r>
    </w:p>
    <w:p>
      <w:pPr>
        <w:spacing w:after="0" w:line="59" w:lineRule="exact"/>
        <w:rPr>
          <w:rFonts w:ascii="Arial" w:cs="Arial" w:eastAsia="Arial" w:hAnsi="Arial"/>
          <w:sz w:val="16"/>
          <w:szCs w:val="16"/>
          <w:b w:val="1"/>
          <w:bCs w:val="1"/>
          <w:color w:val="auto"/>
        </w:rPr>
      </w:pPr>
    </w:p>
    <w:p>
      <w:pPr>
        <w:ind w:left="441" w:right="20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Time Warner Cable LLC Time Warner Cable LLC Time Warner Cable LLC Time Warner Cable LLC TransCanada Trust TransCanada Trust TransCanada Trust TransCanada Trust</w:t>
      </w:r>
    </w:p>
    <w:p>
      <w:pPr>
        <w:spacing w:after="0" w:line="6" w:lineRule="exact"/>
        <w:rPr>
          <w:rFonts w:ascii="Arial" w:cs="Arial" w:eastAsia="Arial" w:hAnsi="Arial"/>
          <w:sz w:val="16"/>
          <w:szCs w:val="16"/>
          <w:b w:val="1"/>
          <w:bCs w:val="1"/>
          <w:color w:val="auto"/>
        </w:rPr>
      </w:pPr>
    </w:p>
    <w:p>
      <w:pPr>
        <w:jc w:val="both"/>
        <w:ind w:left="441" w:right="14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Ultrapar International S.A. 144A Ultrapar International S.A. 144A Unicredit Spa 144A</w:t>
      </w:r>
    </w:p>
    <w:p>
      <w:pPr>
        <w:spacing w:after="0" w:line="2" w:lineRule="exact"/>
        <w:rPr>
          <w:rFonts w:ascii="Arial" w:cs="Arial" w:eastAsia="Arial" w:hAnsi="Arial"/>
          <w:sz w:val="16"/>
          <w:szCs w:val="16"/>
          <w:b w:val="1"/>
          <w:bCs w:val="1"/>
          <w:color w:val="auto"/>
        </w:rPr>
      </w:pPr>
    </w:p>
    <w:p>
      <w:pPr>
        <w:ind w:left="441" w:right="14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Union Pacific Railroad Co. 2006 UNUM Group</w:t>
      </w:r>
    </w:p>
    <w:p>
      <w:pPr>
        <w:spacing w:after="0" w:line="1" w:lineRule="exact"/>
        <w:rPr>
          <w:rFonts w:ascii="Arial" w:cs="Arial" w:eastAsia="Arial" w:hAnsi="Arial"/>
          <w:sz w:val="16"/>
          <w:szCs w:val="16"/>
          <w:b w:val="1"/>
          <w:bCs w:val="1"/>
          <w:color w:val="auto"/>
        </w:rPr>
      </w:pPr>
    </w:p>
    <w:p>
      <w:pPr>
        <w:ind w:left="441" w:right="16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Verizon Communications, Inc. Walt Disney CO/THE</w:t>
      </w:r>
    </w:p>
    <w:p>
      <w:pPr>
        <w:spacing w:after="0" w:line="1" w:lineRule="exact"/>
        <w:rPr>
          <w:rFonts w:ascii="Arial" w:cs="Arial" w:eastAsia="Arial" w:hAnsi="Arial"/>
          <w:sz w:val="16"/>
          <w:szCs w:val="16"/>
          <w:b w:val="1"/>
          <w:bCs w:val="1"/>
          <w:color w:val="auto"/>
        </w:rPr>
      </w:pPr>
    </w:p>
    <w:p>
      <w:pPr>
        <w:ind w:left="441" w:right="222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Wells Fargo Bank NA Wells Fargo &amp; Co. Xerox Corp.</w:t>
      </w:r>
    </w:p>
    <w:p>
      <w:pPr>
        <w:spacing w:after="0" w:line="2" w:lineRule="exact"/>
        <w:rPr>
          <w:rFonts w:ascii="Arial" w:cs="Arial" w:eastAsia="Arial" w:hAnsi="Arial"/>
          <w:sz w:val="16"/>
          <w:szCs w:val="16"/>
          <w:b w:val="1"/>
          <w:bCs w:val="1"/>
          <w:color w:val="auto"/>
        </w:rPr>
      </w:pPr>
    </w:p>
    <w:p>
      <w:pPr>
        <w:ind w:left="441" w:right="266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Zoetis, Inc. Zoetis, Inc. California State California State California State Illinois State</w:t>
      </w:r>
    </w:p>
    <w:p>
      <w:pPr>
        <w:spacing w:after="0" w:line="4" w:lineRule="exact"/>
        <w:rPr>
          <w:rFonts w:ascii="Arial" w:cs="Arial" w:eastAsia="Arial" w:hAnsi="Arial"/>
          <w:sz w:val="16"/>
          <w:szCs w:val="16"/>
          <w:b w:val="1"/>
          <w:bCs w:val="1"/>
          <w:color w:val="auto"/>
        </w:rPr>
      </w:pPr>
    </w:p>
    <w:p>
      <w:pPr>
        <w:ind w:left="441" w:right="98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Los Angeles CA Unified School District New Jersey State Turnpike Authority</w:t>
      </w:r>
    </w:p>
    <w:p>
      <w:pPr>
        <w:spacing w:after="0" w:line="1" w:lineRule="exact"/>
        <w:rPr>
          <w:rFonts w:ascii="Arial" w:cs="Arial" w:eastAsia="Arial" w:hAnsi="Arial"/>
          <w:sz w:val="16"/>
          <w:szCs w:val="16"/>
          <w:b w:val="1"/>
          <w:bCs w:val="1"/>
          <w:color w:val="auto"/>
        </w:rPr>
      </w:pPr>
    </w:p>
    <w:p>
      <w:pPr>
        <w:ind w:left="441"/>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American Funds EuroPacific Growth Fund Class R-6 Neuberger Berman Genesis Fund Class R6 Vanguard Institutional Index Fund Institutional +</w:t>
      </w:r>
    </w:p>
    <w:p>
      <w:pPr>
        <w:spacing w:after="0" w:line="175" w:lineRule="exact"/>
        <w:rPr>
          <w:sz w:val="20"/>
          <w:szCs w:val="20"/>
          <w:color w:val="auto"/>
        </w:rPr>
      </w:pPr>
    </w:p>
    <w:p>
      <w:pPr>
        <w:ind w:left="441" w:right="1960" w:hanging="321"/>
        <w:spacing w:after="0" w:line="317" w:lineRule="auto"/>
        <w:tabs>
          <w:tab w:leader="none" w:pos="4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Participant Loans Citigroup Capital XIII JPMorgan Chase &amp; Co. Vodafone Group PLC SDB Money Market Fund Brokerage Securities FHLMC POOL #1H-2592 FHLMC POOL #78-1274 FHLMC POOL #84-0286 FHLMC POOL #84-9254 FHLMC POOL #84-9327 FHLMC POOL #84-9505 FHLMC POOL #84-9544 FHLMC POOL #84-9625 FHLMC POOL #84-9626 FHLMC POOL #84-9849 FHLMC POOL #C9-0981 FHLMC POOL #C9-1013 FHLMC POOL #G0-7600 FHLMC POOL #G0-8723 FHLMC POOL #G0-8768 FHLMC POOL #G0-8772 FHLMC POOL #G0-8832</w:t>
      </w:r>
    </w:p>
    <w:p>
      <w:pPr>
        <w:spacing w:after="0" w:line="20" w:lineRule="exact"/>
        <w:rPr>
          <w:sz w:val="20"/>
          <w:szCs w:val="20"/>
          <w:color w:val="auto"/>
        </w:rPr>
      </w:pPr>
      <w:r>
        <w:rPr>
          <w:sz w:val="20"/>
          <w:szCs w:val="20"/>
          <w:color w:val="auto"/>
        </w:rPr>
        <w:br w:type="column"/>
      </w:r>
    </w:p>
    <w:p>
      <w:pPr>
        <w:ind w:left="6" w:hanging="6"/>
        <w:spacing w:after="0" w:line="286" w:lineRule="auto"/>
        <w:tabs>
          <w:tab w:leader="none" w:pos="249"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investment including maturity date, rate of interest, collateral, par, or maturity value</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2/1/2020 - 5.000%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2/15/2021 - 4.125%</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7/1/2038 - 7.300%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9/1/2021 - 4.000%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3/15/2077 - Variable</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5/20/2075 - Variable</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8/15/2076 - Variable</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9/15/2079 - Variable</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10/6/2026 - 5.250%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6/6/2029 - 5.250%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4/2/2034 - Variable</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7/2/2030 - 5.866%</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3/15/2028 - 7.250%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1/15/2036 - 4.272%</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11/15/2037 - 6.650%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8/14/2023 - 3.550%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7/22/2027 - 4.300%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5/15/2021 - 4.500%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11/13/2020 - 3.450%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Corporate Debt - due 11/13/2025 - 4.500%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10/1/2039 - 7.300%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3/1/2040 - 7.625%</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4/1/2034 - 7.500%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6/1/2033 - 5.100%</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7/1/2034 - 6.758%</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Municipal Debt - due 1/1/2041 - 7.102%</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Mutual Fund</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Mutual Fund</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6"/>
          <w:szCs w:val="16"/>
          <w:color w:val="auto"/>
        </w:rPr>
        <w:t>Mutual Fund</w:t>
      </w:r>
    </w:p>
    <w:p>
      <w:pPr>
        <w:spacing w:after="0" w:line="59" w:lineRule="exact"/>
        <w:rPr>
          <w:sz w:val="20"/>
          <w:szCs w:val="20"/>
          <w:color w:val="auto"/>
        </w:rPr>
      </w:pPr>
    </w:p>
    <w:p>
      <w:pPr>
        <w:ind w:left="6" w:right="180"/>
        <w:spacing w:after="0" w:line="260" w:lineRule="auto"/>
        <w:rPr>
          <w:sz w:val="20"/>
          <w:szCs w:val="20"/>
          <w:color w:val="auto"/>
        </w:rPr>
      </w:pPr>
      <w:r>
        <w:rPr>
          <w:rFonts w:ascii="Arial" w:cs="Arial" w:eastAsia="Arial" w:hAnsi="Arial"/>
          <w:sz w:val="16"/>
          <w:szCs w:val="16"/>
          <w:color w:val="auto"/>
        </w:rPr>
        <w:t>Loan interest rates range from 4.25% to 10.5% with various maturities through January 2040</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6"/>
          <w:szCs w:val="16"/>
          <w:color w:val="auto"/>
        </w:rPr>
        <w:t>Preferred Stock - 7.130%</w:t>
      </w:r>
    </w:p>
    <w:p>
      <w:pPr>
        <w:spacing w:after="0" w:line="59" w:lineRule="exact"/>
        <w:rPr>
          <w:sz w:val="20"/>
          <w:szCs w:val="20"/>
          <w:color w:val="auto"/>
        </w:rPr>
      </w:pPr>
    </w:p>
    <w:p>
      <w:pPr>
        <w:ind w:left="6" w:right="1260"/>
        <w:spacing w:after="0" w:line="316" w:lineRule="auto"/>
        <w:rPr>
          <w:sz w:val="20"/>
          <w:szCs w:val="20"/>
          <w:color w:val="auto"/>
        </w:rPr>
      </w:pPr>
      <w:r>
        <w:rPr>
          <w:rFonts w:ascii="Arial" w:cs="Arial" w:eastAsia="Arial" w:hAnsi="Arial"/>
          <w:sz w:val="16"/>
          <w:szCs w:val="16"/>
          <w:color w:val="auto"/>
        </w:rPr>
        <w:t>Preferred Stock - due 9/1/2030 - 8.750% Preferred Stock - due 4/4/2079 - Variable Self-directed Brokerage Money Market Fund Self-directed Brokerage Securities</w:t>
      </w:r>
    </w:p>
    <w:p>
      <w:pPr>
        <w:spacing w:after="0" w:line="3" w:lineRule="exact"/>
        <w:rPr>
          <w:sz w:val="20"/>
          <w:szCs w:val="20"/>
          <w:color w:val="auto"/>
        </w:rPr>
      </w:pPr>
    </w:p>
    <w:p>
      <w:pPr>
        <w:ind w:left="6" w:right="480"/>
        <w:spacing w:after="0" w:line="317" w:lineRule="auto"/>
        <w:rPr>
          <w:sz w:val="20"/>
          <w:szCs w:val="20"/>
          <w:color w:val="auto"/>
        </w:rPr>
      </w:pPr>
      <w:r>
        <w:rPr>
          <w:rFonts w:ascii="Arial" w:cs="Arial" w:eastAsia="Arial" w:hAnsi="Arial"/>
          <w:sz w:val="16"/>
          <w:szCs w:val="16"/>
          <w:color w:val="auto"/>
        </w:rPr>
        <w:t>U.S. Government Securities - due 1/1/2036 - Variable U.S. Government Securities - due 2/1/2034 - Variable U.S. Government Securities - due 5/1/2046 - Variable U.S. Government Securities - due 1/1/2042 - Variable U.S. Government Securities - due 5/1/2044 - Variable U.S. Government Securities - due 10/1/2044 - Variable U.S. Government Securities - due 12/1/2044 - Variable U.S. Government Securities - due 1/1/2045 - Variable U.S. Government Securities - due 8/1/2044 - Variable U.S. Government Securities - due 10/1/2045 - Variable U.S. Government Securities - due 7/1/2026 - 6.500% U.S. Government Securities - due 1/1/2027 - 6.500% U.S. Government Securities - due 3/1/2042 - 4.500% U.S. Government Securities - due 8/1/2046 - 4.000% U.S. Government Securities - due 6/1/2047 - 4.500% U.S. Government Securities - due 7/1/2047 - 4.500% U.S .Governments Securities - due 7/01/2048 - 4.500%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0" w:hanging="1358"/>
        <w:spacing w:after="0"/>
        <w:tabs>
          <w:tab w:leader="none" w:pos="1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1,104</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915</w:t>
            </w:r>
          </w:p>
        </w:tc>
      </w:tr>
    </w:tbl>
    <w:p>
      <w:pPr>
        <w:spacing w:after="0" w:line="48" w:lineRule="exact"/>
        <w:rPr>
          <w:sz w:val="20"/>
          <w:szCs w:val="20"/>
          <w:color w:val="auto"/>
        </w:rPr>
      </w:pPr>
    </w:p>
    <w:p>
      <w:pPr>
        <w:ind w:left="1420" w:hanging="1178"/>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506,437</w:t>
      </w:r>
    </w:p>
    <w:p>
      <w:pPr>
        <w:spacing w:after="0" w:line="59" w:lineRule="exact"/>
        <w:rPr>
          <w:rFonts w:ascii="Arial" w:cs="Arial" w:eastAsia="Arial" w:hAnsi="Arial"/>
          <w:sz w:val="16"/>
          <w:szCs w:val="16"/>
          <w:color w:val="auto"/>
        </w:rPr>
      </w:pPr>
    </w:p>
    <w:p>
      <w:pPr>
        <w:ind w:left="1420" w:hanging="1178"/>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203,190</w:t>
      </w:r>
    </w:p>
    <w:p>
      <w:pPr>
        <w:spacing w:after="0" w:line="59" w:lineRule="exact"/>
        <w:rPr>
          <w:rFonts w:ascii="Arial" w:cs="Arial" w:eastAsia="Arial" w:hAnsi="Arial"/>
          <w:sz w:val="16"/>
          <w:szCs w:val="16"/>
          <w:color w:val="auto"/>
        </w:rPr>
      </w:pPr>
    </w:p>
    <w:p>
      <w:pPr>
        <w:ind w:left="1420" w:hanging="1178"/>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568,318</w:t>
      </w:r>
    </w:p>
    <w:p>
      <w:pPr>
        <w:spacing w:after="0" w:line="248" w:lineRule="exact"/>
        <w:rPr>
          <w:rFonts w:ascii="Arial" w:cs="Arial" w:eastAsia="Arial" w:hAnsi="Arial"/>
          <w:sz w:val="16"/>
          <w:szCs w:val="16"/>
          <w:color w:val="auto"/>
        </w:rPr>
      </w:pPr>
    </w:p>
    <w:p>
      <w:pPr>
        <w:ind w:left="1520" w:hanging="1278"/>
        <w:spacing w:after="0"/>
        <w:tabs>
          <w:tab w:leader="none" w:pos="1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97,287</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705</w:t>
            </w:r>
          </w:p>
        </w:tc>
      </w:tr>
    </w:tbl>
    <w:p>
      <w:pPr>
        <w:spacing w:after="0" w:line="48" w:lineRule="exact"/>
        <w:rPr>
          <w:sz w:val="20"/>
          <w:szCs w:val="20"/>
          <w:color w:val="auto"/>
        </w:rPr>
      </w:pPr>
    </w:p>
    <w:p>
      <w:pPr>
        <w:ind w:left="1600" w:hanging="1358"/>
        <w:spacing w:after="0"/>
        <w:tabs>
          <w:tab w:leader="none" w:pos="1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5,285</w:t>
      </w:r>
    </w:p>
    <w:p>
      <w:pPr>
        <w:spacing w:after="0" w:line="70" w:lineRule="exact"/>
        <w:rPr>
          <w:rFonts w:ascii="Arial" w:cs="Arial" w:eastAsia="Arial" w:hAnsi="Arial"/>
          <w:sz w:val="15"/>
          <w:szCs w:val="15"/>
          <w:color w:val="auto"/>
        </w:rPr>
      </w:pPr>
    </w:p>
    <w:p>
      <w:pPr>
        <w:ind w:left="1520"/>
        <w:spacing w:after="0"/>
        <w:rPr>
          <w:rFonts w:ascii="Arial" w:cs="Arial" w:eastAsia="Arial" w:hAnsi="Arial"/>
          <w:sz w:val="15"/>
          <w:szCs w:val="15"/>
          <w:color w:val="auto"/>
        </w:rPr>
      </w:pPr>
      <w:r>
        <w:rPr>
          <w:rFonts w:ascii="Arial" w:cs="Arial" w:eastAsia="Arial" w:hAnsi="Arial"/>
          <w:sz w:val="15"/>
          <w:szCs w:val="15"/>
          <w:color w:val="auto"/>
        </w:rPr>
        <w:t>26,213</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336</w:t>
            </w:r>
          </w:p>
        </w:tc>
      </w:tr>
    </w:tbl>
    <w:p>
      <w:pPr>
        <w:spacing w:after="0" w:line="48" w:lineRule="exact"/>
        <w:rPr>
          <w:sz w:val="20"/>
          <w:szCs w:val="20"/>
          <w:color w:val="auto"/>
        </w:rPr>
      </w:pPr>
    </w:p>
    <w:p>
      <w:pPr>
        <w:ind w:left="1600" w:hanging="1358"/>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2,405</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3,248</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1,116</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2,977</w:t>
      </w:r>
    </w:p>
    <w:p>
      <w:pPr>
        <w:spacing w:after="0" w:line="270" w:lineRule="exact"/>
        <w:rPr>
          <w:sz w:val="20"/>
          <w:szCs w:val="20"/>
          <w:color w:val="auto"/>
        </w:rPr>
      </w:pPr>
    </w:p>
    <w:p>
      <w:pPr>
        <w:sectPr>
          <w:pgSz w:w="11900" w:h="16838" w:orient="portrait"/>
          <w:cols w:equalWidth="0" w:num="3">
            <w:col w:w="4221" w:space="194"/>
            <w:col w:w="4446" w:space="300"/>
            <w:col w:w="2000"/>
          </w:cols>
          <w:pgMar w:left="359" w:top="1147" w:right="37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of 20</w:t>
      </w:r>
    </w:p>
    <w:p>
      <w:pPr>
        <w:sectPr>
          <w:pgSz w:w="11900" w:h="16838" w:orient="portrait"/>
          <w:cols w:equalWidth="0" w:num="1">
            <w:col w:w="11161"/>
          </w:cols>
          <w:pgMar w:left="359" w:top="1147" w:right="379" w:bottom="1440" w:gutter="0" w:footer="0" w:header="0"/>
          <w:type w:val="continuous"/>
        </w:sectPr>
      </w:pPr>
    </w:p>
    <w:bookmarkStart w:id="23" w:name="page24"/>
    <w:bookmarkEnd w:id="23"/>
    <w:p>
      <w:pPr>
        <w:ind w:left="441"/>
        <w:spacing w:after="0"/>
        <w:rPr>
          <w:sz w:val="20"/>
          <w:szCs w:val="20"/>
          <w:color w:val="auto"/>
        </w:rPr>
      </w:pPr>
      <w:r>
        <w:rPr>
          <w:rFonts w:ascii="Arial" w:cs="Arial" w:eastAsia="Arial" w:hAnsi="Arial"/>
          <w:sz w:val="16"/>
          <w:szCs w:val="16"/>
          <w:b w:val="1"/>
          <w:bCs w:val="1"/>
          <w:color w:val="auto"/>
        </w:rPr>
        <w:t>(b) Identity of issue, borrower, lessor, or similar</w:t>
      </w:r>
    </w:p>
    <w:p>
      <w:pPr>
        <w:spacing w:after="0" w:line="25" w:lineRule="exact"/>
        <w:rPr>
          <w:sz w:val="20"/>
          <w:szCs w:val="20"/>
          <w:color w:val="auto"/>
        </w:rPr>
      </w:pPr>
    </w:p>
    <w:p>
      <w:pPr>
        <w:ind w:left="441" w:hanging="441"/>
        <w:spacing w:after="0"/>
        <w:tabs>
          <w:tab w:leader="none" w:pos="44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party</w:t>
      </w:r>
    </w:p>
    <w:p>
      <w:pPr>
        <w:spacing w:after="0" w:line="59" w:lineRule="exact"/>
        <w:rPr>
          <w:rFonts w:ascii="Arial" w:cs="Arial" w:eastAsia="Arial" w:hAnsi="Arial"/>
          <w:sz w:val="16"/>
          <w:szCs w:val="16"/>
          <w:b w:val="1"/>
          <w:bCs w:val="1"/>
          <w:color w:val="auto"/>
        </w:rPr>
      </w:pPr>
    </w:p>
    <w:p>
      <w:pPr>
        <w:jc w:val="both"/>
        <w:ind w:left="441" w:right="18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FHLMC POOL #G6-0153 FHLMC POOL #G6-0764 FHLMC POOL #G6-1080 FHLMC POOL #H0-1774 FHLMC POOL #H0-9197 FHLMC POOL #H0-9212 FHLMC POOL #Q0-3517 FHLMC POOL #Q5-5948 FHLMC POOL #V8-4757</w:t>
      </w:r>
    </w:p>
    <w:p>
      <w:pPr>
        <w:spacing w:after="0" w:line="6" w:lineRule="exact"/>
        <w:rPr>
          <w:rFonts w:ascii="Arial" w:cs="Arial" w:eastAsia="Arial" w:hAnsi="Arial"/>
          <w:sz w:val="16"/>
          <w:szCs w:val="16"/>
          <w:b w:val="1"/>
          <w:bCs w:val="1"/>
          <w:color w:val="auto"/>
        </w:rPr>
      </w:pPr>
    </w:p>
    <w:p>
      <w:pPr>
        <w:ind w:left="441"/>
        <w:spacing w:after="0"/>
        <w:rPr>
          <w:rFonts w:ascii="Arial" w:cs="Arial" w:eastAsia="Arial" w:hAnsi="Arial"/>
          <w:sz w:val="16"/>
          <w:szCs w:val="16"/>
          <w:b w:val="1"/>
          <w:bCs w:val="1"/>
          <w:color w:val="auto"/>
        </w:rPr>
      </w:pPr>
      <w:r>
        <w:rPr>
          <w:rFonts w:ascii="Arial" w:cs="Arial" w:eastAsia="Arial" w:hAnsi="Arial"/>
          <w:sz w:val="16"/>
          <w:szCs w:val="16"/>
          <w:color w:val="auto"/>
        </w:rPr>
        <w:t>FHLMC MULTICLASS MTG</w:t>
      </w:r>
    </w:p>
    <w:p>
      <w:pPr>
        <w:spacing w:after="0" w:line="59" w:lineRule="exact"/>
        <w:rPr>
          <w:rFonts w:ascii="Arial" w:cs="Arial" w:eastAsia="Arial" w:hAnsi="Arial"/>
          <w:sz w:val="16"/>
          <w:szCs w:val="16"/>
          <w:b w:val="1"/>
          <w:bCs w:val="1"/>
          <w:color w:val="auto"/>
        </w:rPr>
      </w:pPr>
    </w:p>
    <w:p>
      <w:pPr>
        <w:jc w:val="both"/>
        <w:ind w:left="441" w:right="9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FHLMC MULTICLASS MTG 2957 VZ FHLMC MULTICLASS MTG 4319 MA FNMA POOL #0256851</w:t>
      </w:r>
    </w:p>
    <w:p>
      <w:pPr>
        <w:spacing w:after="0" w:line="2" w:lineRule="exact"/>
        <w:rPr>
          <w:rFonts w:ascii="Arial" w:cs="Arial" w:eastAsia="Arial" w:hAnsi="Arial"/>
          <w:sz w:val="16"/>
          <w:szCs w:val="16"/>
          <w:b w:val="1"/>
          <w:bCs w:val="1"/>
          <w:color w:val="auto"/>
        </w:rPr>
      </w:pPr>
    </w:p>
    <w:p>
      <w:pPr>
        <w:jc w:val="both"/>
        <w:ind w:left="441" w:right="1860"/>
        <w:spacing w:after="0" w:line="317" w:lineRule="auto"/>
        <w:rPr>
          <w:rFonts w:ascii="Arial" w:cs="Arial" w:eastAsia="Arial" w:hAnsi="Arial"/>
          <w:sz w:val="16"/>
          <w:szCs w:val="16"/>
          <w:b w:val="1"/>
          <w:bCs w:val="1"/>
          <w:color w:val="auto"/>
        </w:rPr>
      </w:pPr>
      <w:r>
        <w:rPr>
          <w:rFonts w:ascii="Arial" w:cs="Arial" w:eastAsia="Arial" w:hAnsi="Arial"/>
          <w:sz w:val="16"/>
          <w:szCs w:val="16"/>
          <w:color w:val="auto"/>
        </w:rPr>
        <w:t>FNMA POOL #0735503 FNMA POOL #0735608 FNMA POOL #0745329 FNMA POOL #0884704 FNMA POOL #0888154 FNMA POOL #0888367 FNMA POOL #0889634 FNMA POOL #0889984 FNMA POOL #0976853 FNMA POOL #0995487 FNMA POOL #0AB1763 FNMA POOL #0AB8086 FNMA POOL #0AD0121 FNMA POOL #0AD0130 FNMA POOL #0AD0198 FNMA POOL #0AD0217 FNMA POOL #0AD0218 FNMA POOL #0AD0964 FNMA POOL #0AL1845 FNMA POOL #0AL1900 FNMA POOL #0AL4577 FNMA POOL #0AL5145 FNMA POOL #0AL5749 FNMA POOL #0AL6120 FNMA POOL #0AL6132 FNMA POOL #0AL6209 FNMA POOL #0AL6245 FNMA POOL #0AL7205 FNMA POOL #0AL7384 FNMA POOL #0AL8556 FNMA POOL #0AL8816 FNMA POOL #0AL8919 FNMA POOL #0AL9407 FNMA POOL #0AL9781 FNMA POOL #0AO4105 FNMA POOL #0AO8469 FNMA POOL #0AP7562 FNMA POOL #0AW4697 FNMA POOL #0AX3721 FNMA POOL #0BF0118</w:t>
      </w:r>
    </w:p>
    <w:p>
      <w:pPr>
        <w:spacing w:after="0" w:line="20" w:lineRule="exact"/>
        <w:rPr>
          <w:sz w:val="20"/>
          <w:szCs w:val="20"/>
          <w:color w:val="auto"/>
        </w:rPr>
      </w:pPr>
      <w:r>
        <w:rPr>
          <w:sz w:val="20"/>
          <w:szCs w:val="20"/>
          <w:color w:val="auto"/>
        </w:rPr>
        <w:br w:type="column"/>
      </w:r>
    </w:p>
    <w:p>
      <w:pPr>
        <w:ind w:left="6" w:hanging="6"/>
        <w:spacing w:after="0" w:line="286" w:lineRule="auto"/>
        <w:tabs>
          <w:tab w:leader="none" w:pos="249"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investment including maturity date, rate of interest, collateral, par, or maturity value</w:t>
      </w:r>
    </w:p>
    <w:p>
      <w:pPr>
        <w:spacing w:after="0" w:line="14" w:lineRule="exact"/>
        <w:rPr>
          <w:sz w:val="20"/>
          <w:szCs w:val="20"/>
          <w:color w:val="auto"/>
        </w:rPr>
      </w:pPr>
    </w:p>
    <w:p>
      <w:pPr>
        <w:ind w:left="6" w:right="360"/>
        <w:spacing w:after="0" w:line="317" w:lineRule="auto"/>
        <w:rPr>
          <w:sz w:val="20"/>
          <w:szCs w:val="20"/>
          <w:color w:val="auto"/>
        </w:rPr>
      </w:pPr>
      <w:r>
        <w:rPr>
          <w:rFonts w:ascii="Arial" w:cs="Arial" w:eastAsia="Arial" w:hAnsi="Arial"/>
          <w:sz w:val="16"/>
          <w:szCs w:val="16"/>
          <w:color w:val="auto"/>
        </w:rPr>
        <w:t>U.S. Government Securities - due 10/1/2044 - 4.500% U.S. Government Securities - due 10/1/2042 - 4.500% U.S. Government Securities - due 3/1/2047 - 4.500% U.S. Government Securities - due 9/1/2037 - 6.500% U.S. Government Securities - due 10/1/2038 - 6.500% U.S. Government Securities - due 5/1/2038 - 5.500% U.S. Government Securities - due 9/1/2041 - 4.500% U.S. Government Securities - due 5/1/2048 - 4.500% U.S .Governments Securities - due 10/01/2048 - 4.500% U.S .Governments Securities - due 12/15/2043 - Variable U.S. Government Securities - due 2/15/2035 - 5.000% U.S. Government Securities - due 3/15/2044 - Variable U.S. Government Securities - due 8/1/2037 - 7.000% U.S. Government Securities - due 4/1/2035 - 6.000% U.S. Government Securities - due 3/1/2035 - Variable U.S. Government Securities - due 7/1/2035 - 6.000% U.S. Government Securities - due 6/1/2036 - Variable U.S. Government Securities - due 11/1/2036 - Variable U.S. Government Securities - due 3/1/2037 - 7.000% U.S. Government Securities - due 2/1/2023 - 6.000% U.S. Government Securities - due 10/1/2038 - 6.500% U.S. Government Securities - due 11/1/2029 - 5.500% U.S. Government Securities - due 8/1/2037 - 6.000% U.S. Government Securities - due 11/1/2030 - 4.000% U.S. Government Securities - due 10/1/2037 - 6.000% U.S. Government Securities - due 9/1/2029 - 4.500% U.S. Government Securities - due 8/1/2039 - 6.500% U.S. Government Securities - due 9/1/2038 - 5.500% U.S. Government Securities - due 8/1/2037 - 6.000% U.S. Government Securities - due 9/1/2036 - 6.000% U.S. Government Securities - due 11/1/2039 - 5.500% U.S. Government Securities - due 6/1/2039 - Variable U.S. Government Securities - due 8/1/2026 - 4.500% U.S. Government Securities - due 1/1/2034 - 4.500% U.S. Government Securities - due 10/1/2033 - 4.000% U.S. Government Securities - due 7/1/2042 - 4.500% U.S. Government Securities - due 11/1/2044 - Variable U.S. Government Securities - due 3/1/2029 - 4.500% U.S. Government Securities - due 7/1/2021 - Variable U.S. Government Securities - due 1/1/2045 - Variable U.S. Government Securities - due 12/1/2029 - 3.500% U.S. Government Securities - due 9/1/2045 - 4.500% U.S. Government Securities - due 8/1/2044 - 4.500% U.S. Government Securities - due 9/1/2045 - 4.500% U.S. Government Securities - due 7/1/2046 - Variable U.S. Government Securities - due 9/1/2042 - 4.500% U.S. Government Securities - due 2/1/2046 - 4.500% U.S. Government Securities - due 6/1/2042 - Variable U.S. Government Securities - due 5/1/2042 - Variable U.S. Government Securities - due 9/1/2042 - Variable U.S. Government Securities - due 5/1/2044 - Variable U.S. Government Securities - due 7/1/2027 - 3.500% U.S. Government Securities - due 6/1/2056 - 4.500%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0" w:hanging="1358"/>
        <w:spacing w:after="0"/>
        <w:tabs>
          <w:tab w:leader="none" w:pos="1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2,549</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w:t>
            </w:r>
          </w:p>
        </w:tc>
      </w:tr>
    </w:tbl>
    <w:p>
      <w:pPr>
        <w:spacing w:after="0" w:line="48" w:lineRule="exact"/>
        <w:rPr>
          <w:sz w:val="20"/>
          <w:szCs w:val="20"/>
          <w:color w:val="auto"/>
        </w:rPr>
      </w:pPr>
    </w:p>
    <w:p>
      <w:pPr>
        <w:ind w:left="1600" w:hanging="1358"/>
        <w:spacing w:after="0"/>
        <w:tabs>
          <w:tab w:leader="none" w:pos="1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3,044</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262</w:t>
            </w:r>
          </w:p>
        </w:tc>
      </w:tr>
    </w:tbl>
    <w:p>
      <w:pPr>
        <w:spacing w:after="0" w:line="48" w:lineRule="exact"/>
        <w:rPr>
          <w:sz w:val="20"/>
          <w:szCs w:val="20"/>
          <w:color w:val="auto"/>
        </w:rPr>
      </w:pPr>
    </w:p>
    <w:p>
      <w:pPr>
        <w:ind w:left="1600" w:hanging="1358"/>
        <w:spacing w:after="0"/>
        <w:tabs>
          <w:tab w:leader="none" w:pos="1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1,663</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669</w:t>
            </w:r>
          </w:p>
        </w:tc>
      </w:tr>
    </w:tbl>
    <w:p>
      <w:pPr>
        <w:spacing w:after="0" w:line="249" w:lineRule="exact"/>
        <w:rPr>
          <w:sz w:val="20"/>
          <w:szCs w:val="20"/>
          <w:color w:val="auto"/>
        </w:rPr>
      </w:pPr>
    </w:p>
    <w:p>
      <w:pPr>
        <w:sectPr>
          <w:pgSz w:w="11900" w:h="16838" w:orient="portrait"/>
          <w:cols w:equalWidth="0" w:num="3">
            <w:col w:w="4101" w:space="314"/>
            <w:col w:w="4446" w:space="300"/>
            <w:col w:w="2000"/>
          </w:cols>
          <w:pgMar w:left="359" w:top="1147" w:right="37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 of 20</w:t>
      </w:r>
    </w:p>
    <w:p>
      <w:pPr>
        <w:sectPr>
          <w:pgSz w:w="11900" w:h="16838" w:orient="portrait"/>
          <w:cols w:equalWidth="0" w:num="1">
            <w:col w:w="11161"/>
          </w:cols>
          <w:pgMar w:left="359" w:top="1147" w:right="379" w:bottom="1440" w:gutter="0" w:footer="0" w:header="0"/>
          <w:type w:val="continuous"/>
        </w:sectPr>
      </w:pPr>
    </w:p>
    <w:bookmarkStart w:id="24" w:name="page25"/>
    <w:bookmarkEnd w:id="24"/>
    <w:p>
      <w:pPr>
        <w:ind w:left="441"/>
        <w:spacing w:after="0"/>
        <w:rPr>
          <w:sz w:val="20"/>
          <w:szCs w:val="20"/>
          <w:color w:val="auto"/>
        </w:rPr>
      </w:pPr>
      <w:r>
        <w:rPr>
          <w:rFonts w:ascii="Arial" w:cs="Arial" w:eastAsia="Arial" w:hAnsi="Arial"/>
          <w:sz w:val="16"/>
          <w:szCs w:val="16"/>
          <w:b w:val="1"/>
          <w:bCs w:val="1"/>
          <w:color w:val="auto"/>
        </w:rPr>
        <w:t>(b) Identity of issue, borrower, lessor, or similar</w:t>
      </w:r>
    </w:p>
    <w:p>
      <w:pPr>
        <w:spacing w:after="0" w:line="25" w:lineRule="exact"/>
        <w:rPr>
          <w:sz w:val="20"/>
          <w:szCs w:val="20"/>
          <w:color w:val="auto"/>
        </w:rPr>
      </w:pPr>
    </w:p>
    <w:p>
      <w:pPr>
        <w:ind w:left="441" w:hanging="441"/>
        <w:spacing w:after="0"/>
        <w:tabs>
          <w:tab w:leader="none" w:pos="44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party</w:t>
      </w:r>
    </w:p>
    <w:p>
      <w:pPr>
        <w:spacing w:after="0" w:line="59" w:lineRule="exact"/>
        <w:rPr>
          <w:rFonts w:ascii="Arial" w:cs="Arial" w:eastAsia="Arial" w:hAnsi="Arial"/>
          <w:sz w:val="16"/>
          <w:szCs w:val="16"/>
          <w:b w:val="1"/>
          <w:bCs w:val="1"/>
          <w:color w:val="auto"/>
        </w:rPr>
      </w:pPr>
    </w:p>
    <w:p>
      <w:pPr>
        <w:ind w:left="441" w:right="1000"/>
        <w:spacing w:after="0" w:line="317" w:lineRule="auto"/>
        <w:rPr>
          <w:rFonts w:ascii="Arial" w:cs="Arial" w:eastAsia="Arial" w:hAnsi="Arial"/>
          <w:sz w:val="16"/>
          <w:szCs w:val="16"/>
          <w:b w:val="1"/>
          <w:bCs w:val="1"/>
          <w:color w:val="auto"/>
        </w:rPr>
      </w:pPr>
      <w:r>
        <w:rPr>
          <w:rFonts w:ascii="Arial" w:cs="Arial" w:eastAsia="Arial" w:hAnsi="Arial"/>
          <w:sz w:val="16"/>
          <w:szCs w:val="16"/>
          <w:color w:val="auto"/>
        </w:rPr>
        <w:t>FNMA POOL #0BH7071 FNMA POOL #0BK0922 FNMA POOL #0BK4770 FNMA POOL #0BM1357 FNMA POOL #0BM6149 FNMA POOL #0BN5341 FNMA POOL #0CA1709 FNMA POOL #0CA2804 FNMA POOL #0MA0232 FNMA POOL #0MA2366 FNMA POOL #0MA2455 FNMA POOL #0MA2480 FNMA POOL #0MA2880 FNMA POOL #0MA2923 FNMA POOL #0MA3334 FNMA POOL #0MA3616 FNMA GTD REMIC P/T 01-79 BA FNMA GTD REMIC P/T 01-T10 A1 FNMA GTD REMIC P/T 04-W2 5A FNMA GTD REMIC P/T 07-50 DZ FNMA GTD REMIC P/T 07-W10 2A FNMA GTD REMIC P/T 12-46 BA FNMA GTD REMIC P/T 13-128 CF GNMA GTD REMIC P/T 15-H23 FA GNMA GTD REMIC P/T 16-H24 FD GNMA GTD REMIC P/T 17-H24 FQ GNMA GTD REMIC P/T 19-H02 FG GNMA GTD REMIC P/T 19-H17 FA SBA GTD PARTN CTFS 2006-20E 1 SBA GTD PARTN CTFS 2007-20B 1 SBA GTD PARTN CTFS 2007-20D 1 U.S. Treasury Note</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71" w:lineRule="exact"/>
        <w:rPr>
          <w:rFonts w:ascii="Arial" w:cs="Arial" w:eastAsia="Arial" w:hAnsi="Arial"/>
          <w:sz w:val="16"/>
          <w:szCs w:val="16"/>
          <w:b w:val="1"/>
          <w:bCs w:val="1"/>
          <w:color w:val="auto"/>
        </w:rPr>
      </w:pPr>
    </w:p>
    <w:p>
      <w:pPr>
        <w:jc w:val="both"/>
        <w:ind w:left="441" w:right="2240"/>
        <w:spacing w:after="0" w:line="316" w:lineRule="auto"/>
        <w:rPr>
          <w:rFonts w:ascii="Arial" w:cs="Arial" w:eastAsia="Arial" w:hAnsi="Arial"/>
          <w:sz w:val="16"/>
          <w:szCs w:val="16"/>
          <w:b w:val="1"/>
          <w:bCs w:val="1"/>
          <w:color w:val="auto"/>
        </w:rPr>
      </w:pPr>
      <w:r>
        <w:rPr>
          <w:rFonts w:ascii="Arial" w:cs="Arial" w:eastAsia="Arial" w:hAnsi="Arial"/>
          <w:sz w:val="16"/>
          <w:szCs w:val="16"/>
          <w:color w:val="auto"/>
        </w:rPr>
        <w:t>U.S. Treasury Note U.S. Treasury Note U.S. Treasury Note U.S. Treasury Note U.S. Treasury Note U.S. Treasury Bond U.S. Treasury Bond</w:t>
      </w:r>
    </w:p>
    <w:p>
      <w:pPr>
        <w:spacing w:after="0" w:line="5" w:lineRule="exact"/>
        <w:rPr>
          <w:rFonts w:ascii="Arial" w:cs="Arial" w:eastAsia="Arial" w:hAnsi="Arial"/>
          <w:sz w:val="16"/>
          <w:szCs w:val="16"/>
          <w:b w:val="1"/>
          <w:bCs w:val="1"/>
          <w:color w:val="auto"/>
        </w:rPr>
      </w:pPr>
    </w:p>
    <w:p>
      <w:pPr>
        <w:jc w:val="both"/>
        <w:ind w:left="441" w:right="172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U.S. Treasury-CPI Inflation U.S. Treasury-CPI Inflation U.S. Treasury-CPI Inflation</w:t>
      </w:r>
    </w:p>
    <w:p>
      <w:pPr>
        <w:spacing w:after="0" w:line="20" w:lineRule="exact"/>
        <w:rPr>
          <w:sz w:val="20"/>
          <w:szCs w:val="20"/>
          <w:color w:val="auto"/>
        </w:rPr>
      </w:pPr>
      <w:r>
        <w:rPr>
          <w:sz w:val="20"/>
          <w:szCs w:val="20"/>
          <w:color w:val="auto"/>
        </w:rPr>
        <w:br w:type="column"/>
      </w:r>
    </w:p>
    <w:p>
      <w:pPr>
        <w:ind w:left="6" w:hanging="6"/>
        <w:spacing w:after="0" w:line="286" w:lineRule="auto"/>
        <w:tabs>
          <w:tab w:leader="none" w:pos="24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investment including maturity date, rate of interest, collateral, par, or maturity value</w:t>
      </w:r>
    </w:p>
    <w:p>
      <w:pPr>
        <w:spacing w:after="0" w:line="14" w:lineRule="exact"/>
        <w:rPr>
          <w:sz w:val="20"/>
          <w:szCs w:val="20"/>
          <w:color w:val="auto"/>
        </w:rPr>
      </w:pPr>
    </w:p>
    <w:p>
      <w:pPr>
        <w:ind w:left="6" w:right="360"/>
        <w:spacing w:after="0" w:line="317" w:lineRule="auto"/>
        <w:rPr>
          <w:sz w:val="20"/>
          <w:szCs w:val="20"/>
          <w:color w:val="auto"/>
        </w:rPr>
      </w:pPr>
      <w:r>
        <w:rPr>
          <w:rFonts w:ascii="Arial" w:cs="Arial" w:eastAsia="Arial" w:hAnsi="Arial"/>
          <w:sz w:val="16"/>
          <w:szCs w:val="16"/>
          <w:color w:val="auto"/>
        </w:rPr>
        <w:t>U.S. Government Securities - due 12/1/2047 - 4.500% U.S. Government Securities - due 7/1/2048 - 4.500% U.S. Government Securities - due 8/1/2048 - 4.500% U.S. Government Securities - due 1/1/2043 - 4.500% U.S .Governments Securities - due 10/01/2049 - Variable U.S .Governments Securities - due 3/01/2049 - 4.500% U.S .Governments Securities - due 5/01/2048 - 4.500% U.S .Governments Securities - due 12/01/2048 - 4.500% U.S. Government Securities - due 11/1/2029 - 4.500% U.S. Government Securities - due 8/1/2035 - 4.000% U.S. Government Securities - due 11/1/2035 - 4.000% U.S. Government Securities - due 12/1/2035 - 4.000% U.S. Government Securities - due 1/1/2037 - 4.000% U.S. Government Securities - due 3/1/2037 - 3.500% U.S. Government Securities - due 4/1/2048 - 4.500% U.S .Governments Securities - due 3/01/2049 - 4.500% U.S. Government Securities - due 3/25/2045 - 7.000% U.S. Government Securities - due 12/25/2041 - 7.000% U.S. Government Securities - due 3/25/2044 - 7.500% U.S. Government Securities - due 6/25/2037 - 5.500% U.S. Government Securities - due 8/25/2047 - Variable U.S. Government Securities - due 5/25/2042 - 6.000% U.S. Government Securities - due 12/25/2043 - Variable U.S. Government Securities - due 9/20/2065 - Variable U.S .Governments Securities - due 11/20/2066 - Variable U.S. Government Securities - due 11/20/2067 - Variable U.S .Governments Securities - due 12/20/2068 - Variable U.S .Governments Securities - due 11/20/2069 - Variable U.S. Government Securities - due 5/1/2026 - 5.870% U.S. Government Securities - due 2/1/2027 - 5.490% U.S. Government Securities - due 4/1/2027 - 5.320% U.S. Government Securities - due 10/31/2024 - 1.500% U.S. Government Securities - due 11/15/2022 - 1.625% U.S. Government Securities - due 11/30/2021 - 1.500% U.S. Government Securities - due 11/30/2024 - 1.500% U.S. Government Securities - due 5/15/2029 - 2.375% U.S. Government Securities - due 8/15/2029 - 1.625% U.S .Governments Securities - due 5/15/2049 - 2.875% U.S .Governments Securities - due 8/15/2049 - 2.250% U.S .Governments Securities - due 1/15/2022 - 0.125% U.S .Governments Securities - due 4/15/2022 - 0.125% U.S .Governments Securities - due 4/15/2023 - 0.625%</w:t>
      </w:r>
    </w:p>
    <w:p>
      <w:pPr>
        <w:spacing w:after="0" w:line="321" w:lineRule="exact"/>
        <w:rPr>
          <w:sz w:val="20"/>
          <w:szCs w:val="20"/>
          <w:color w:val="auto"/>
        </w:rPr>
      </w:pPr>
    </w:p>
    <w:p>
      <w:pPr>
        <w:ind w:left="846"/>
        <w:spacing w:after="0"/>
        <w:rPr>
          <w:sz w:val="20"/>
          <w:szCs w:val="20"/>
          <w:color w:val="auto"/>
        </w:rPr>
      </w:pPr>
      <w:r>
        <w:rPr>
          <w:rFonts w:ascii="Arial" w:cs="Arial" w:eastAsia="Arial" w:hAnsi="Arial"/>
          <w:sz w:val="18"/>
          <w:szCs w:val="18"/>
          <w:color w:val="auto"/>
        </w:rPr>
        <w:t>20 of 20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(d) Cost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(e) Current</w:t>
            </w: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43"/>
        </w:trPr>
        <w:tc>
          <w:tcPr>
            <w:tcW w:w="860" w:type="dxa"/>
            <w:vAlign w:val="bottom"/>
          </w:tcPr>
          <w:p>
            <w:pPr>
              <w:jc w:val="center"/>
              <w:ind w:right="179"/>
              <w:spacing w:after="0"/>
              <w:rPr>
                <w:sz w:val="20"/>
                <w:szCs w:val="20"/>
                <w:color w:val="auto"/>
              </w:rPr>
            </w:pPr>
            <w:r>
              <w:rPr>
                <w:rFonts w:ascii="Arial" w:cs="Arial" w:eastAsia="Arial" w:hAnsi="Arial"/>
                <w:sz w:val="16"/>
                <w:szCs w:val="16"/>
                <w:color w:val="auto"/>
                <w:w w:val="9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0" w:hanging="1358"/>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1,909</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1,415</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355</w:t>
            </w:r>
          </w:p>
        </w:tc>
      </w:tr>
    </w:tbl>
    <w:p>
      <w:pPr>
        <w:spacing w:after="0" w:line="48" w:lineRule="exact"/>
        <w:rPr>
          <w:sz w:val="20"/>
          <w:szCs w:val="20"/>
          <w:color w:val="auto"/>
        </w:rPr>
      </w:pPr>
    </w:p>
    <w:p>
      <w:pPr>
        <w:ind w:left="1600" w:hanging="1358"/>
        <w:spacing w:after="0"/>
        <w:tabs>
          <w:tab w:leader="none" w:pos="1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1,581</w:t>
      </w:r>
    </w:p>
    <w:p>
      <w:pPr>
        <w:spacing w:after="0" w:line="71"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928</w:t>
      </w:r>
    </w:p>
    <w:p>
      <w:pPr>
        <w:spacing w:after="0" w:line="71" w:lineRule="exact"/>
        <w:rPr>
          <w:sz w:val="20"/>
          <w:szCs w:val="20"/>
          <w:color w:val="auto"/>
        </w:rPr>
      </w:pPr>
    </w:p>
    <w:p>
      <w:pPr>
        <w:ind w:left="1600" w:hanging="1358"/>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3,209</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3,302</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48" w:lineRule="exact"/>
        <w:rPr>
          <w:sz w:val="20"/>
          <w:szCs w:val="20"/>
          <w:color w:val="auto"/>
        </w:rPr>
      </w:pPr>
    </w:p>
    <w:p>
      <w:pPr>
        <w:ind w:left="1600" w:hanging="1358"/>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1,530</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2,181</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554</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48" w:lineRule="exact"/>
        <w:rPr>
          <w:sz w:val="20"/>
          <w:szCs w:val="20"/>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1,076</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8,536</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2,886</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9,919</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4,056</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7,312</w:t>
      </w:r>
    </w:p>
    <w:p>
      <w:pPr>
        <w:spacing w:after="0" w:line="70" w:lineRule="exact"/>
        <w:rPr>
          <w:rFonts w:ascii="Arial" w:cs="Arial" w:eastAsia="Arial" w:hAnsi="Arial"/>
          <w:sz w:val="15"/>
          <w:szCs w:val="15"/>
          <w:color w:val="auto"/>
        </w:rPr>
      </w:pPr>
    </w:p>
    <w:p>
      <w:pPr>
        <w:ind w:left="1600" w:hanging="1358"/>
        <w:spacing w:after="0"/>
        <w:tabs>
          <w:tab w:leader="none" w:pos="16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2,082</w:t>
      </w:r>
    </w:p>
    <w:p>
      <w:pPr>
        <w:spacing w:after="0" w:line="71"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43"/>
        </w:trPr>
        <w:tc>
          <w:tcPr>
            <w:tcW w:w="820" w:type="dxa"/>
            <w:vAlign w:val="bottom"/>
          </w:tcPr>
          <w:p>
            <w:pPr>
              <w:jc w:val="right"/>
              <w:ind w:right="619"/>
              <w:spacing w:after="0"/>
              <w:rPr>
                <w:sz w:val="20"/>
                <w:szCs w:val="20"/>
                <w:color w:val="auto"/>
              </w:rPr>
            </w:pPr>
            <w:r>
              <w:rPr>
                <w:rFonts w:ascii="Arial" w:cs="Arial" w:eastAsia="Arial" w:hAnsi="Arial"/>
                <w:sz w:val="16"/>
                <w:szCs w:val="16"/>
                <w:color w:val="auto"/>
                <w:w w:val="7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377</w:t>
            </w:r>
          </w:p>
        </w:tc>
      </w:tr>
    </w:tbl>
    <w:p>
      <w:pPr>
        <w:spacing w:after="0" w:line="48" w:lineRule="exact"/>
        <w:rPr>
          <w:sz w:val="20"/>
          <w:szCs w:val="20"/>
          <w:color w:val="auto"/>
        </w:rPr>
      </w:pPr>
    </w:p>
    <w:p>
      <w:pPr>
        <w:ind w:left="1600" w:hanging="1358"/>
        <w:spacing w:after="0"/>
        <w:tabs>
          <w:tab w:leader="none" w:pos="16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1,907</w:t>
      </w:r>
    </w:p>
    <w:p>
      <w:pPr>
        <w:spacing w:after="0" w:line="71"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384</w:t>
      </w:r>
    </w:p>
    <w:sectPr>
      <w:pgSz w:w="11900" w:h="16838" w:orient="portrait"/>
      <w:cols w:equalWidth="0" w:num="3">
        <w:col w:w="4101" w:space="314"/>
        <w:col w:w="4446" w:space="300"/>
        <w:col w:w="2000"/>
      </w:cols>
      <w:pgMar w:left="359" w:top="114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3"/>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3"/>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www.sec.gov/Archives/edgar/data/72333/000007233320000143/jwn-06102020x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2020-07-24T15:36:43Z</dcterms:created>
  <dcterms:modified xsi:type="dcterms:W3CDTF">2020-07-24T15:36:43Z</dcterms:modified>
</cp:coreProperties>
</file>