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223520</wp:posOffset>
            </wp:positionV>
            <wp:extent cx="362585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2585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Nordstrom,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720" w:type="dxa"/>
        <w:tblCellMar>
          <w:top w:w="0" w:type="dxa"/>
          <w:left w:w="0" w:type="dxa"/>
          <w:bottom w:w="0" w:type="dxa"/>
          <w:right w:w="0" w:type="dxa"/>
        </w:tblCellMar>
      </w:tblPr>
      <w:tr>
        <w:trPr>
          <w:trHeight w:val="230"/>
        </w:trPr>
        <w:tc>
          <w:tcPr>
            <w:tcW w:w="214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Washington</w:t>
            </w:r>
          </w:p>
        </w:tc>
        <w:tc>
          <w:tcPr>
            <w:tcW w:w="57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001-15059</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91-0515058</w:t>
            </w:r>
          </w:p>
        </w:tc>
      </w:tr>
      <w:tr>
        <w:trPr>
          <w:trHeight w:val="189"/>
        </w:trPr>
        <w:tc>
          <w:tcPr>
            <w:tcW w:w="214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9"/>
              </w:rPr>
              <w:t>(State or other jurisdiction</w:t>
            </w:r>
          </w:p>
        </w:tc>
        <w:tc>
          <w:tcPr>
            <w:tcW w:w="570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9"/>
              </w:rPr>
              <w:t>(Commission</w:t>
            </w:r>
          </w:p>
        </w:tc>
        <w:tc>
          <w:tcPr>
            <w:tcW w:w="1660" w:type="dxa"/>
            <w:vAlign w:val="bottom"/>
          </w:tcPr>
          <w:p>
            <w:pPr>
              <w:jc w:val="center"/>
              <w:ind w:left="150"/>
              <w:spacing w:after="0" w:line="189" w:lineRule="exact"/>
              <w:rPr>
                <w:sz w:val="20"/>
                <w:szCs w:val="20"/>
                <w:color w:val="auto"/>
              </w:rPr>
            </w:pPr>
            <w:r>
              <w:rPr>
                <w:rFonts w:ascii="Arial" w:cs="Arial" w:eastAsia="Arial" w:hAnsi="Arial"/>
                <w:sz w:val="18"/>
                <w:szCs w:val="18"/>
                <w:color w:val="auto"/>
              </w:rPr>
              <w:t>(IRS Employer</w:t>
            </w:r>
          </w:p>
        </w:tc>
      </w:tr>
      <w:tr>
        <w:trPr>
          <w:trHeight w:val="239"/>
        </w:trPr>
        <w:tc>
          <w:tcPr>
            <w:tcW w:w="2140" w:type="dxa"/>
            <w:vAlign w:val="bottom"/>
          </w:tcPr>
          <w:p>
            <w:pPr>
              <w:jc w:val="center"/>
              <w:ind w:right="30"/>
              <w:spacing w:after="0"/>
              <w:rPr>
                <w:sz w:val="20"/>
                <w:szCs w:val="20"/>
                <w:color w:val="auto"/>
              </w:rPr>
            </w:pPr>
            <w:r>
              <w:rPr>
                <w:rFonts w:ascii="Arial" w:cs="Arial" w:eastAsia="Arial" w:hAnsi="Arial"/>
                <w:sz w:val="18"/>
                <w:szCs w:val="18"/>
                <w:color w:val="auto"/>
                <w:w w:val="99"/>
              </w:rPr>
              <w:t>of incorporation)</w:t>
            </w:r>
          </w:p>
        </w:tc>
        <w:tc>
          <w:tcPr>
            <w:tcW w:w="5700" w:type="dxa"/>
            <w:vAlign w:val="bottom"/>
          </w:tcPr>
          <w:p>
            <w:pPr>
              <w:jc w:val="center"/>
              <w:ind w:right="90"/>
              <w:spacing w:after="0"/>
              <w:rPr>
                <w:sz w:val="20"/>
                <w:szCs w:val="20"/>
                <w:color w:val="auto"/>
              </w:rPr>
            </w:pPr>
            <w:r>
              <w:rPr>
                <w:rFonts w:ascii="Arial" w:cs="Arial" w:eastAsia="Arial" w:hAnsi="Arial"/>
                <w:sz w:val="18"/>
                <w:szCs w:val="18"/>
                <w:color w:val="auto"/>
                <w:w w:val="99"/>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color w:val="auto"/>
                <w:w w:val="99"/>
              </w:rPr>
              <w:t>Identification No.)</w:t>
            </w:r>
          </w:p>
        </w:tc>
      </w:tr>
      <w:tr>
        <w:trPr>
          <w:trHeight w:val="642"/>
        </w:trPr>
        <w:tc>
          <w:tcPr>
            <w:tcW w:w="2140" w:type="dxa"/>
            <w:vAlign w:val="bottom"/>
          </w:tcPr>
          <w:p>
            <w:pPr>
              <w:spacing w:after="0"/>
              <w:rPr>
                <w:sz w:val="24"/>
                <w:szCs w:val="24"/>
                <w:color w:val="auto"/>
              </w:rPr>
            </w:pPr>
          </w:p>
        </w:tc>
        <w:tc>
          <w:tcPr>
            <w:tcW w:w="57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1617 Sixth Avenue, Seattle, Washington 98101</w:t>
            </w:r>
          </w:p>
        </w:tc>
        <w:tc>
          <w:tcPr>
            <w:tcW w:w="1660" w:type="dxa"/>
            <w:vAlign w:val="bottom"/>
          </w:tcPr>
          <w:p>
            <w:pPr>
              <w:spacing w:after="0"/>
              <w:rPr>
                <w:sz w:val="24"/>
                <w:szCs w:val="24"/>
                <w:color w:val="auto"/>
              </w:rPr>
            </w:pPr>
          </w:p>
        </w:tc>
      </w:tr>
      <w:tr>
        <w:trPr>
          <w:trHeight w:val="262"/>
        </w:trPr>
        <w:tc>
          <w:tcPr>
            <w:tcW w:w="2140" w:type="dxa"/>
            <w:vAlign w:val="bottom"/>
          </w:tcPr>
          <w:p>
            <w:pPr>
              <w:spacing w:after="0"/>
              <w:rPr>
                <w:sz w:val="22"/>
                <w:szCs w:val="22"/>
                <w:color w:val="auto"/>
              </w:rPr>
            </w:pPr>
          </w:p>
        </w:tc>
        <w:tc>
          <w:tcPr>
            <w:tcW w:w="5700" w:type="dxa"/>
            <w:vAlign w:val="bottom"/>
          </w:tcPr>
          <w:p>
            <w:pPr>
              <w:jc w:val="center"/>
              <w:ind w:right="90"/>
              <w:spacing w:after="0"/>
              <w:rPr>
                <w:sz w:val="20"/>
                <w:szCs w:val="20"/>
                <w:color w:val="auto"/>
              </w:rPr>
            </w:pPr>
            <w:r>
              <w:rPr>
                <w:rFonts w:ascii="Arial" w:cs="Arial" w:eastAsia="Arial" w:hAnsi="Arial"/>
                <w:sz w:val="18"/>
                <w:szCs w:val="18"/>
                <w:color w:val="auto"/>
                <w:w w:val="99"/>
              </w:rPr>
              <w:t>(Address of principal executive offices)</w:t>
            </w:r>
          </w:p>
        </w:tc>
        <w:tc>
          <w:tcPr>
            <w:tcW w:w="1660" w:type="dxa"/>
            <w:vAlign w:val="bottom"/>
          </w:tcPr>
          <w:p>
            <w:pPr>
              <w:spacing w:after="0"/>
              <w:rPr>
                <w:sz w:val="22"/>
                <w:szCs w:val="22"/>
                <w:color w:val="auto"/>
              </w:rPr>
            </w:pPr>
          </w:p>
        </w:tc>
      </w:tr>
      <w:tr>
        <w:trPr>
          <w:trHeight w:val="548"/>
        </w:trPr>
        <w:tc>
          <w:tcPr>
            <w:tcW w:w="2140" w:type="dxa"/>
            <w:vAlign w:val="bottom"/>
          </w:tcPr>
          <w:p>
            <w:pPr>
              <w:spacing w:after="0"/>
              <w:rPr>
                <w:sz w:val="24"/>
                <w:szCs w:val="24"/>
                <w:color w:val="auto"/>
              </w:rPr>
            </w:pPr>
          </w:p>
        </w:tc>
        <w:tc>
          <w:tcPr>
            <w:tcW w:w="5700" w:type="dxa"/>
            <w:vAlign w:val="bottom"/>
          </w:tcPr>
          <w:p>
            <w:pPr>
              <w:jc w:val="center"/>
              <w:ind w:right="90"/>
              <w:spacing w:after="0"/>
              <w:rPr>
                <w:sz w:val="20"/>
                <w:szCs w:val="20"/>
                <w:color w:val="auto"/>
              </w:rPr>
            </w:pPr>
            <w:r>
              <w:rPr>
                <w:rFonts w:ascii="Arial" w:cs="Arial" w:eastAsia="Arial" w:hAnsi="Arial"/>
                <w:sz w:val="18"/>
                <w:szCs w:val="18"/>
                <w:color w:val="auto"/>
                <w:w w:val="99"/>
              </w:rPr>
              <w:t xml:space="preserve">Registrant’s telephone number, including area code </w:t>
            </w:r>
            <w:r>
              <w:rPr>
                <w:rFonts w:ascii="Arial" w:cs="Arial" w:eastAsia="Arial" w:hAnsi="Arial"/>
                <w:sz w:val="18"/>
                <w:szCs w:val="18"/>
                <w:b w:val="1"/>
                <w:bCs w:val="1"/>
                <w:color w:val="auto"/>
                <w:w w:val="99"/>
              </w:rPr>
              <w:t>(206) 628-2111</w:t>
            </w:r>
          </w:p>
        </w:tc>
        <w:tc>
          <w:tcPr>
            <w:tcW w:w="1660" w:type="dxa"/>
            <w:vAlign w:val="bottom"/>
          </w:tcPr>
          <w:p>
            <w:pPr>
              <w:spacing w:after="0"/>
              <w:rPr>
                <w:sz w:val="24"/>
                <w:szCs w:val="24"/>
                <w:color w:val="auto"/>
              </w:rPr>
            </w:pPr>
          </w:p>
        </w:tc>
      </w:tr>
    </w:tbl>
    <w:p>
      <w:pPr>
        <w:spacing w:after="0" w:line="2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3" w:lineRule="exact"/>
        <w:rPr>
          <w:sz w:val="24"/>
          <w:szCs w:val="24"/>
          <w:color w:val="auto"/>
        </w:rPr>
      </w:pPr>
    </w:p>
    <w:p>
      <w:pPr>
        <w:ind w:right="16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140" w:firstLine="8"/>
        <w:spacing w:after="0" w:line="464"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without par value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JWN</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21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purchase rights</w:t>
            </w:r>
          </w:p>
        </w:tc>
        <w:tc>
          <w:tcPr>
            <w:tcW w:w="2420" w:type="dxa"/>
            <w:vAlign w:val="bottom"/>
            <w:tcBorders>
              <w:bottom w:val="single" w:sz="8" w:color="auto"/>
              <w:right w:val="single" w:sz="8" w:color="auto"/>
            </w:tcBorders>
          </w:tcPr>
          <w:p>
            <w:pPr>
              <w:spacing w:after="0"/>
              <w:rPr>
                <w:sz w:val="18"/>
                <w:szCs w:val="18"/>
                <w:color w:val="auto"/>
              </w:rPr>
            </w:pP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38" w:lineRule="exact"/>
        <w:rPr>
          <w:sz w:val="24"/>
          <w:szCs w:val="24"/>
          <w:color w:val="auto"/>
        </w:rPr>
      </w:pPr>
    </w:p>
    <w:p>
      <w:pPr>
        <w:jc w:val="both"/>
        <w:ind w:right="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ind w:left="88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22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ind w:right="74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Interim Chief Accounting Officer</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April 1, 2025, the Board of Directors (the “Board”) of Nordstrom, Inc. appointed the Corporation’s Vice President – Controller, Randy Kanai, age 50, to the position of Interim Chief Accounting Officer. Mr. Kanai joined the Corporation in June 2001, serving in roles of increasing responsibility within the Corporation’s finance organization until being appointed Vice President – Controller in June 2017. Mr. Kanai received his bachelor’s degree in business administration with an accounting concentration from the University of Washington.</w:t>
      </w:r>
    </w:p>
    <w:p>
      <w:pPr>
        <w:spacing w:after="0" w:line="122"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There are no arrangements between Mr. Kanai and any other persons pursuant to which he was appointed to serve as the Corporation’s Interim Chief Accounting Officer. There are no family relationships between Mr. Kanai and any director or executive officer of the Company, and he has no direct or indirect material interest in any transaction required to be disclosed pursuant to Item 404(a) of Regulation 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32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NORDSTROM, INC.</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Ann Munson Steines</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Ann Munson Steines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Legal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2025</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2025-04-04T16:04:36Z</dcterms:created>
  <dcterms:modified xsi:type="dcterms:W3CDTF">2025-04-04T16:04:36Z</dcterms:modified>
</cp:coreProperties>
</file>