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15"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color w:val="auto"/>
                <w:w w:val="90"/>
              </w:rPr>
              <w:t xml:space="preserve">Date of Report (Date of earliest event reported) </w:t>
            </w:r>
            <w:r>
              <w:rPr>
                <w:rFonts w:ascii="Arial" w:cs="Arial" w:eastAsia="Arial" w:hAnsi="Arial"/>
                <w:sz w:val="18"/>
                <w:szCs w:val="18"/>
                <w:b w:val="1"/>
                <w:bCs w:val="1"/>
                <w:color w:val="auto"/>
                <w:w w:val="90"/>
              </w:rPr>
              <w:t>October 14, 2022</w:t>
            </w:r>
          </w:p>
        </w:tc>
        <w:tc>
          <w:tcPr>
            <w:tcW w:w="1760" w:type="dxa"/>
            <w:vAlign w:val="bottom"/>
          </w:tcPr>
          <w:p>
            <w:pPr>
              <w:spacing w:after="0"/>
              <w:rPr>
                <w:sz w:val="20"/>
                <w:szCs w:val="20"/>
                <w:color w:val="auto"/>
              </w:rPr>
            </w:pPr>
          </w:p>
        </w:tc>
      </w:tr>
      <w:tr>
        <w:trPr>
          <w:trHeight w:val="526"/>
        </w:trPr>
        <w:tc>
          <w:tcPr>
            <w:tcW w:w="2180" w:type="dxa"/>
            <w:vAlign w:val="bottom"/>
          </w:tcPr>
          <w:p>
            <w:pPr>
              <w:spacing w:after="0"/>
              <w:rPr>
                <w:sz w:val="24"/>
                <w:szCs w:val="24"/>
                <w:color w:val="auto"/>
              </w:rPr>
            </w:pP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rPr>
              <w:t>NORDSTROM, INC.</w:t>
            </w:r>
          </w:p>
        </w:tc>
        <w:tc>
          <w:tcPr>
            <w:tcW w:w="1760" w:type="dxa"/>
            <w:vAlign w:val="bottom"/>
          </w:tcPr>
          <w:p>
            <w:pPr>
              <w:spacing w:after="0"/>
              <w:rPr>
                <w:sz w:val="24"/>
                <w:szCs w:val="24"/>
                <w:color w:val="auto"/>
              </w:rPr>
            </w:pPr>
          </w:p>
        </w:tc>
      </w:tr>
      <w:tr>
        <w:trPr>
          <w:trHeight w:val="230"/>
        </w:trPr>
        <w:tc>
          <w:tcPr>
            <w:tcW w:w="2180" w:type="dxa"/>
            <w:vAlign w:val="bottom"/>
          </w:tcPr>
          <w:p>
            <w:pPr>
              <w:spacing w:after="0"/>
              <w:rPr>
                <w:sz w:val="20"/>
                <w:szCs w:val="20"/>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color w:val="auto"/>
                <w:w w:val="90"/>
              </w:rPr>
              <w:t>(Exact name of registrant as specified in its charter)</w:t>
            </w:r>
          </w:p>
        </w:tc>
        <w:tc>
          <w:tcPr>
            <w:tcW w:w="1760" w:type="dxa"/>
            <w:vAlign w:val="bottom"/>
          </w:tcPr>
          <w:p>
            <w:pPr>
              <w:spacing w:after="0"/>
              <w:rPr>
                <w:sz w:val="20"/>
                <w:szCs w:val="20"/>
                <w:color w:val="auto"/>
              </w:rPr>
            </w:pPr>
          </w:p>
        </w:tc>
      </w:tr>
      <w:tr>
        <w:trPr>
          <w:trHeight w:val="378"/>
        </w:trPr>
        <w:tc>
          <w:tcPr>
            <w:tcW w:w="21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Washington</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001-15059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91-0515058</w:t>
            </w:r>
          </w:p>
        </w:tc>
      </w:tr>
      <w:tr>
        <w:trPr>
          <w:trHeight w:val="256"/>
        </w:trPr>
        <w:tc>
          <w:tcPr>
            <w:tcW w:w="2180" w:type="dxa"/>
            <w:vAlign w:val="bottom"/>
          </w:tcPr>
          <w:p>
            <w:pPr>
              <w:jc w:val="center"/>
              <w:ind w:right="190"/>
              <w:spacing w:after="0"/>
              <w:rPr>
                <w:sz w:val="20"/>
                <w:szCs w:val="20"/>
                <w:color w:val="auto"/>
              </w:rPr>
            </w:pPr>
            <w:r>
              <w:rPr>
                <w:rFonts w:ascii="Arial" w:cs="Arial" w:eastAsia="Arial" w:hAnsi="Arial"/>
                <w:sz w:val="18"/>
                <w:szCs w:val="18"/>
                <w:color w:val="auto"/>
                <w:w w:val="92"/>
              </w:rPr>
              <w:t>(State or other jurisdiction</w:t>
            </w:r>
          </w:p>
        </w:tc>
        <w:tc>
          <w:tcPr>
            <w:tcW w:w="554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50"/>
              <w:spacing w:after="0"/>
              <w:rPr>
                <w:sz w:val="20"/>
                <w:szCs w:val="20"/>
                <w:color w:val="auto"/>
              </w:rPr>
            </w:pPr>
            <w:r>
              <w:rPr>
                <w:rFonts w:ascii="Arial" w:cs="Arial" w:eastAsia="Arial" w:hAnsi="Arial"/>
                <w:sz w:val="18"/>
                <w:szCs w:val="18"/>
                <w:color w:val="auto"/>
                <w:w w:val="92"/>
              </w:rPr>
              <w:t>(IRS Employer</w:t>
            </w:r>
          </w:p>
        </w:tc>
      </w:tr>
      <w:tr>
        <w:trPr>
          <w:trHeight w:val="230"/>
        </w:trPr>
        <w:tc>
          <w:tcPr>
            <w:tcW w:w="2180" w:type="dxa"/>
            <w:vAlign w:val="bottom"/>
          </w:tcPr>
          <w:p>
            <w:pPr>
              <w:jc w:val="center"/>
              <w:ind w:right="190"/>
              <w:spacing w:after="0"/>
              <w:rPr>
                <w:sz w:val="20"/>
                <w:szCs w:val="20"/>
                <w:color w:val="auto"/>
              </w:rPr>
            </w:pPr>
            <w:r>
              <w:rPr>
                <w:rFonts w:ascii="Arial" w:cs="Arial" w:eastAsia="Arial" w:hAnsi="Arial"/>
                <w:sz w:val="18"/>
                <w:szCs w:val="18"/>
                <w:color w:val="auto"/>
                <w:w w:val="93"/>
              </w:rPr>
              <w:t>of incorporation)</w:t>
            </w:r>
          </w:p>
        </w:tc>
        <w:tc>
          <w:tcPr>
            <w:tcW w:w="554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567"/>
        </w:trPr>
        <w:tc>
          <w:tcPr>
            <w:tcW w:w="2180" w:type="dxa"/>
            <w:vAlign w:val="bottom"/>
          </w:tcPr>
          <w:p>
            <w:pPr>
              <w:spacing w:after="0"/>
              <w:rPr>
                <w:sz w:val="24"/>
                <w:szCs w:val="24"/>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1617 Sixth Avenue, Seattle, Washington 98101</w:t>
            </w:r>
          </w:p>
        </w:tc>
        <w:tc>
          <w:tcPr>
            <w:tcW w:w="1760" w:type="dxa"/>
            <w:vAlign w:val="bottom"/>
          </w:tcPr>
          <w:p>
            <w:pPr>
              <w:spacing w:after="0"/>
              <w:rPr>
                <w:sz w:val="24"/>
                <w:szCs w:val="24"/>
                <w:color w:val="auto"/>
              </w:rPr>
            </w:pPr>
          </w:p>
        </w:tc>
      </w:tr>
      <w:tr>
        <w:trPr>
          <w:trHeight w:val="270"/>
        </w:trPr>
        <w:tc>
          <w:tcPr>
            <w:tcW w:w="2180" w:type="dxa"/>
            <w:vAlign w:val="bottom"/>
          </w:tcPr>
          <w:p>
            <w:pPr>
              <w:spacing w:after="0"/>
              <w:rPr>
                <w:sz w:val="23"/>
                <w:szCs w:val="23"/>
                <w:color w:val="auto"/>
              </w:rPr>
            </w:pPr>
          </w:p>
        </w:tc>
        <w:tc>
          <w:tcPr>
            <w:tcW w:w="554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3"/>
                <w:szCs w:val="23"/>
                <w:color w:val="auto"/>
              </w:rPr>
            </w:pPr>
          </w:p>
        </w:tc>
      </w:tr>
      <w:tr>
        <w:trPr>
          <w:trHeight w:val="540"/>
        </w:trPr>
        <w:tc>
          <w:tcPr>
            <w:tcW w:w="2180" w:type="dxa"/>
            <w:vAlign w:val="bottom"/>
          </w:tcPr>
          <w:p>
            <w:pPr>
              <w:spacing w:after="0"/>
              <w:rPr>
                <w:sz w:val="24"/>
                <w:szCs w:val="24"/>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color w:val="auto"/>
                <w:w w:val="89"/>
              </w:rPr>
              <w:t xml:space="preserve">Registrant’s telephone number, including area code </w:t>
            </w:r>
            <w:r>
              <w:rPr>
                <w:rFonts w:ascii="Arial" w:cs="Arial" w:eastAsia="Arial" w:hAnsi="Arial"/>
                <w:sz w:val="18"/>
                <w:szCs w:val="18"/>
                <w:b w:val="1"/>
                <w:bCs w:val="1"/>
                <w:color w:val="auto"/>
                <w:w w:val="89"/>
              </w:rPr>
              <w:t>(206) 628-2111</w:t>
            </w:r>
          </w:p>
        </w:tc>
        <w:tc>
          <w:tcPr>
            <w:tcW w:w="1760" w:type="dxa"/>
            <w:vAlign w:val="bottom"/>
          </w:tcPr>
          <w:p>
            <w:pPr>
              <w:spacing w:after="0"/>
              <w:rPr>
                <w:sz w:val="24"/>
                <w:szCs w:val="24"/>
                <w:color w:val="auto"/>
              </w:rPr>
            </w:pPr>
          </w:p>
        </w:tc>
      </w:tr>
    </w:tbl>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980" w:firstLine="8"/>
        <w:spacing w:after="0" w:line="446"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1"/>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JWN</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8"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ind w:right="1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14, 2022, Anne Bramman, the Company’s Chief Financial Officer, informed the Company of her intention to step down from her role following the filing of the Company’s Quarterly Report on Form 10-Q for the current quarter, anticipated to be on or about December 2, 2022. Ms. Bramman’s resignation is not the result of any dispute or disagreement with the Company, including with respect to any matters relating to the Company’s accounting practices or financial reporting.</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upon Ms. Bramman’s exit of the Chief Financial Officer role, the Company has appointed Michael Maher to serve as Chief Financial Officer on an interim basis. Mr. Maher, age 49, is currently the Company’s Chief Accounting Officer, a role he has held since 2020. While acting as interim Chief Financial Officer, Mr. Maher will serve as the Company’s principal financial officer and principal accounting officer. Mr. Maher previously served as the Company’s Senior Vice President, Finance, from 2017 to 2020, held various leadership finance roles for the Company’s Nordstrom business from 2011 to 2017, and served as the Company’s Controller from 2009 to 2011. Previously, Mr. Maher served as a Manager of Assurance and Advisory Services and a Certified Public Accountant with Deloitte &amp; Touche LLP.</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no arrangements between Mr. Maher and any other persons pursuant to which he was appointed to serve as the Company’s interim Chief Financial Officer. There are no family relationships between Mr. Maher and any director or executive officer of the Company, and he has no direct or indirect material interest in any transaction required to be disclosed pursuant to Item 404(a) of Regulation 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17, 2022, the Company issued a press release announcing the anticipated resignation of Anne Bramman as the Company’s Chief Financial Officer and appointment of Michael Maher to serve as interim Chief Financial Officer. A copy of the press release is furnished as Exhibit 99.1 to this Current Report on Form 8-K. 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a specific reference in such filing.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99.1</w:t>
            </w:r>
          </w:p>
        </w:tc>
        <w:tc>
          <w:tcPr>
            <w:tcW w:w="4160" w:type="dxa"/>
            <w:vAlign w:val="bottom"/>
            <w:tcBorders>
              <w:bottom w:val="single" w:sz="8" w:color="0000EE"/>
            </w:tcBorders>
            <w:shd w:val="clear" w:color="auto" w:fill="CCEEFF"/>
          </w:tcPr>
          <w:p>
            <w:pPr>
              <w:ind w:left="20"/>
              <w:spacing w:after="0"/>
              <w:rPr>
                <w:sz w:val="20"/>
                <w:szCs w:val="20"/>
                <w:color w:val="auto"/>
              </w:rPr>
            </w:pPr>
            <w:r>
              <w:rPr>
                <w:rFonts w:ascii="Arial" w:cs="Arial" w:eastAsia="Arial" w:hAnsi="Arial"/>
                <w:sz w:val="18"/>
                <w:szCs w:val="18"/>
                <w:color w:val="0000EE"/>
                <w:w w:val="88"/>
              </w:rPr>
              <w:t>Press Release of Nordstrom, Inc. dated October 17, 2022.</w:t>
            </w:r>
          </w:p>
        </w:tc>
        <w:tc>
          <w:tcPr>
            <w:tcW w:w="5840" w:type="dxa"/>
            <w:vAlign w:val="bottom"/>
            <w:tcBorders>
              <w:bottom w:val="single" w:sz="8" w:color="CCEEFF"/>
            </w:tcBorders>
            <w:shd w:val="clear" w:color="auto" w:fill="CCEEFF"/>
          </w:tcPr>
          <w:p>
            <w:pPr>
              <w:spacing w:after="0"/>
              <w:rPr>
                <w:sz w:val="19"/>
                <w:szCs w:val="19"/>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87"/>
        </w:trPr>
        <w:tc>
          <w:tcPr>
            <w:tcW w:w="12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NORDSTROM, INC.</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6520"/>
        <w:spacing w:after="0"/>
        <w:rPr>
          <w:sz w:val="20"/>
          <w:szCs w:val="20"/>
          <w:color w:val="auto"/>
        </w:rPr>
      </w:pPr>
      <w:r>
        <w:rPr>
          <w:rFonts w:ascii="Arial" w:cs="Arial" w:eastAsia="Arial" w:hAnsi="Arial"/>
          <w:sz w:val="18"/>
          <w:szCs w:val="18"/>
          <w:u w:val="single" w:color="auto"/>
          <w:color w:val="auto"/>
        </w:rPr>
        <w:t>/s/ Ann Munson Steines</w:t>
      </w:r>
    </w:p>
    <w:p>
      <w:pPr>
        <w:spacing w:after="0" w:line="3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Ann Munson Steines</w:t>
      </w:r>
    </w:p>
    <w:p>
      <w:pPr>
        <w:spacing w:after="0" w:line="3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Legal Officer,</w:t>
      </w:r>
    </w:p>
    <w:p>
      <w:pPr>
        <w:spacing w:after="0" w:line="3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General Counsel and Corporate Secretary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Date: October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2570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257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Nordstrom Announces CFO Transition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Reaffirms Fiscal Year 2022 Financial Outlook</w:t>
      </w:r>
    </w:p>
    <w:p>
      <w:pPr>
        <w:spacing w:after="0" w:line="22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SEATTLE, October 17, 2022 </w:t>
      </w:r>
      <w:r>
        <w:rPr>
          <w:rFonts w:ascii="Arial" w:cs="Arial" w:eastAsia="Arial" w:hAnsi="Arial"/>
          <w:sz w:val="18"/>
          <w:szCs w:val="18"/>
          <w:color w:val="auto"/>
        </w:rPr>
        <w:t>– Nordstrom, Inc. (NYSE: JWN) today announced that Nordstrom Chief Financial Officer Anne Bramman has informed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her intention to step down from her role. She will remain with the company through the reporting of Nordstrom’s third quarter 2022 financial results to facilitate a smooth transition. Her last day with the company will be December 2, 2022.</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“Anne is an outstanding CFO. Since she was named CFO in 2017, Anne’s leadership has been vital in helping us in many areas, particularly navigating the numerous challenges of the last few years,” said Erik Nordstrom, chief executive officer of Nordstrom, Inc. “I’d like to thank Anne for her deep commitment to our customers, our employees, our shareholders and our values. As a result of Anne’s guidance through the pandemic, Nordstrom has the financial strength and flexibility to successfully manage through a changing environment. She also sponsored multiple strategic initiatives to improve profitability and develop capabilities to fuel our long-term growth. Anne has elevated the finance organization through her commitment to excellence and talent development. We wish her well as she takes this next step.”</w:t>
      </w:r>
    </w:p>
    <w:p>
      <w:pPr>
        <w:spacing w:after="0" w:line="192"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“It has been a privilege to work alongside our leadership team and the many talented individuals throughout the company,” Bramman said. “With Nordstrom well positioned for success, I felt that this is the right time to transition to the next chapter in my career.”</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Michael Maher, Nordstrom’s senior vice president and chief accounting officer, will assume the role of interim CFO upon Bramman’s departure.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Nordstrom has commenced an internal and external search process to identify a permanent CFO.</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Maher joined Nordstrom in 2009 as controller and has more than 25 years of finance and accounting experience. As chief accounting officer, he is responsible for accounting, financial planning and analysis, business development, treasury and investor relations. Prior to his appointment as Nordstrom’s chief accounting officer in 2020, Maher served as senior vice president, finance from 2017 to 2020. From 2011 to 2017, he held various finance leadership roles for the Nordstrom business.</w:t>
      </w:r>
    </w:p>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are fortunate to have a deep bench of talented leaders at Nordstrom,” Nordstrom added. “Michael’s knowledge of the Nordstrom business and more than two decades of related experience will support the continued execution of our financial priorities as we conduct a search for our next CFO.”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reaffirming its fiscal year 2022 financial outlook that was previously provided on August 23, 2022.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NORDSTROM</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At Nordstrom, Inc. (NYSE: JWN), we exist to help our customers feel good and look their best. Since starting as a shoe store in 1901, how to best serve customers has been at the center of every decision we make. This heritage of service is the foundation we're building on as we provide convenience and true connection for our customers. Our digital-first platform enables us to serve customers when, where and how they want to shop – whether that's in-store at more than 350 Nordstrom, Nordstrom Local and Nordstrom Rack locations or digitally through our </w:t>
      </w:r>
      <w:r>
        <w:rPr>
          <w:rFonts w:ascii="Arial" w:cs="Arial" w:eastAsia="Arial" w:hAnsi="Arial"/>
          <w:sz w:val="18"/>
          <w:szCs w:val="18"/>
          <w:u w:val="single" w:color="auto"/>
          <w:color w:val="auto"/>
        </w:rPr>
        <w:t>Nordstrom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Rack</w:t>
      </w:r>
      <w:r>
        <w:rPr>
          <w:rFonts w:ascii="Arial" w:cs="Arial" w:eastAsia="Arial" w:hAnsi="Arial"/>
          <w:sz w:val="18"/>
          <w:szCs w:val="18"/>
          <w:color w:val="auto"/>
        </w:rPr>
        <w:t xml:space="preserve"> apps and websites. Through it all, we remain committed to </w:t>
      </w:r>
      <w:r>
        <w:rPr>
          <w:rFonts w:ascii="Arial" w:cs="Arial" w:eastAsia="Arial" w:hAnsi="Arial"/>
          <w:sz w:val="18"/>
          <w:szCs w:val="18"/>
          <w:u w:val="single" w:color="auto"/>
          <w:color w:val="auto"/>
        </w:rPr>
        <w:t>leaving the world better</w:t>
      </w:r>
      <w:r>
        <w:rPr>
          <w:rFonts w:ascii="Arial" w:cs="Arial" w:eastAsia="Arial" w:hAnsi="Arial"/>
          <w:sz w:val="18"/>
          <w:szCs w:val="18"/>
          <w:color w:val="auto"/>
        </w:rPr>
        <w:t xml:space="preserve"> than we found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0"/>
        </w:trPr>
        <w:tc>
          <w:tcPr>
            <w:tcW w:w="232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8920" w:type="dxa"/>
            <w:vAlign w:val="bottom"/>
          </w:tcPr>
          <w:p>
            <w:pPr>
              <w:ind w:left="380"/>
              <w:spacing w:after="0"/>
              <w:rPr>
                <w:sz w:val="20"/>
                <w:szCs w:val="20"/>
                <w:color w:val="auto"/>
              </w:rPr>
            </w:pPr>
            <w:r>
              <w:rPr>
                <w:rFonts w:ascii="Arial" w:cs="Arial" w:eastAsia="Arial" w:hAnsi="Arial"/>
                <w:sz w:val="18"/>
                <w:szCs w:val="18"/>
                <w:color w:val="auto"/>
              </w:rPr>
              <w:t>Heather Hollander</w:t>
            </w:r>
          </w:p>
        </w:tc>
      </w:tr>
      <w:tr>
        <w:trPr>
          <w:trHeight w:val="216"/>
        </w:trPr>
        <w:tc>
          <w:tcPr>
            <w:tcW w:w="2320" w:type="dxa"/>
            <w:vAlign w:val="bottom"/>
          </w:tcPr>
          <w:p>
            <w:pPr>
              <w:spacing w:after="0"/>
              <w:rPr>
                <w:sz w:val="18"/>
                <w:szCs w:val="18"/>
                <w:color w:val="auto"/>
              </w:rPr>
            </w:pPr>
          </w:p>
        </w:tc>
        <w:tc>
          <w:tcPr>
            <w:tcW w:w="8920" w:type="dxa"/>
            <w:vAlign w:val="bottom"/>
          </w:tcPr>
          <w:p>
            <w:pPr>
              <w:ind w:left="380"/>
              <w:spacing w:after="0"/>
              <w:rPr>
                <w:sz w:val="20"/>
                <w:szCs w:val="20"/>
                <w:color w:val="auto"/>
              </w:rPr>
            </w:pPr>
            <w:r>
              <w:rPr>
                <w:rFonts w:ascii="Arial" w:cs="Arial" w:eastAsia="Arial" w:hAnsi="Arial"/>
                <w:sz w:val="18"/>
                <w:szCs w:val="18"/>
                <w:color w:val="auto"/>
              </w:rPr>
              <w:t>Nordstrom, Inc.</w:t>
            </w:r>
          </w:p>
        </w:tc>
      </w:tr>
      <w:tr>
        <w:trPr>
          <w:trHeight w:val="230"/>
        </w:trPr>
        <w:tc>
          <w:tcPr>
            <w:tcW w:w="2320" w:type="dxa"/>
            <w:vAlign w:val="bottom"/>
          </w:tcPr>
          <w:p>
            <w:pPr>
              <w:spacing w:after="0"/>
              <w:rPr>
                <w:sz w:val="20"/>
                <w:szCs w:val="20"/>
                <w:color w:val="auto"/>
              </w:rPr>
            </w:pPr>
          </w:p>
        </w:tc>
        <w:tc>
          <w:tcPr>
            <w:tcW w:w="8920" w:type="dxa"/>
            <w:vAlign w:val="bottom"/>
          </w:tcPr>
          <w:p>
            <w:pPr>
              <w:ind w:left="380"/>
              <w:spacing w:after="0"/>
              <w:rPr>
                <w:sz w:val="20"/>
                <w:szCs w:val="20"/>
                <w:color w:val="auto"/>
              </w:rPr>
            </w:pPr>
            <w:r>
              <w:rPr>
                <w:rFonts w:ascii="Arial" w:cs="Arial" w:eastAsia="Arial" w:hAnsi="Arial"/>
                <w:sz w:val="18"/>
                <w:szCs w:val="18"/>
                <w:color w:val="auto"/>
              </w:rPr>
              <w:t>InvRelations@Nordstrom.com</w:t>
            </w:r>
          </w:p>
        </w:tc>
      </w:tr>
      <w:tr>
        <w:trPr>
          <w:trHeight w:val="418"/>
        </w:trPr>
        <w:tc>
          <w:tcPr>
            <w:tcW w:w="2320" w:type="dxa"/>
            <w:vAlign w:val="bottom"/>
          </w:tcPr>
          <w:p>
            <w:pPr>
              <w:spacing w:after="0"/>
              <w:rPr>
                <w:sz w:val="20"/>
                <w:szCs w:val="20"/>
                <w:color w:val="auto"/>
              </w:rPr>
            </w:pPr>
            <w:r>
              <w:rPr>
                <w:rFonts w:ascii="Arial" w:cs="Arial" w:eastAsia="Arial" w:hAnsi="Arial"/>
                <w:sz w:val="18"/>
                <w:szCs w:val="18"/>
                <w:b w:val="1"/>
                <w:bCs w:val="1"/>
                <w:color w:val="auto"/>
              </w:rPr>
              <w:t>MEDIA CONTACT:</w:t>
            </w:r>
          </w:p>
        </w:tc>
        <w:tc>
          <w:tcPr>
            <w:tcW w:w="8920" w:type="dxa"/>
            <w:vAlign w:val="bottom"/>
          </w:tcPr>
          <w:p>
            <w:pPr>
              <w:ind w:left="380"/>
              <w:spacing w:after="0"/>
              <w:rPr>
                <w:sz w:val="20"/>
                <w:szCs w:val="20"/>
                <w:color w:val="auto"/>
              </w:rPr>
            </w:pPr>
            <w:r>
              <w:rPr>
                <w:rFonts w:ascii="Arial" w:cs="Arial" w:eastAsia="Arial" w:hAnsi="Arial"/>
                <w:sz w:val="18"/>
                <w:szCs w:val="18"/>
                <w:color w:val="auto"/>
              </w:rPr>
              <w:t>Stephanie Corzett</w:t>
            </w:r>
          </w:p>
        </w:tc>
      </w:tr>
      <w:tr>
        <w:trPr>
          <w:trHeight w:val="216"/>
        </w:trPr>
        <w:tc>
          <w:tcPr>
            <w:tcW w:w="2320" w:type="dxa"/>
            <w:vAlign w:val="bottom"/>
          </w:tcPr>
          <w:p>
            <w:pPr>
              <w:spacing w:after="0"/>
              <w:rPr>
                <w:sz w:val="18"/>
                <w:szCs w:val="18"/>
                <w:color w:val="auto"/>
              </w:rPr>
            </w:pPr>
          </w:p>
        </w:tc>
        <w:tc>
          <w:tcPr>
            <w:tcW w:w="8920" w:type="dxa"/>
            <w:vAlign w:val="bottom"/>
          </w:tcPr>
          <w:p>
            <w:pPr>
              <w:ind w:left="380"/>
              <w:spacing w:after="0"/>
              <w:rPr>
                <w:sz w:val="20"/>
                <w:szCs w:val="20"/>
                <w:color w:val="auto"/>
              </w:rPr>
            </w:pPr>
            <w:r>
              <w:rPr>
                <w:rFonts w:ascii="Arial" w:cs="Arial" w:eastAsia="Arial" w:hAnsi="Arial"/>
                <w:sz w:val="18"/>
                <w:szCs w:val="18"/>
                <w:color w:val="auto"/>
              </w:rPr>
              <w:t>Nordstrom, Inc.</w:t>
            </w:r>
          </w:p>
        </w:tc>
      </w:tr>
      <w:tr>
        <w:trPr>
          <w:trHeight w:val="230"/>
        </w:trPr>
        <w:tc>
          <w:tcPr>
            <w:tcW w:w="2320" w:type="dxa"/>
            <w:vAlign w:val="bottom"/>
          </w:tcPr>
          <w:p>
            <w:pPr>
              <w:spacing w:after="0"/>
              <w:rPr>
                <w:sz w:val="20"/>
                <w:szCs w:val="20"/>
                <w:color w:val="auto"/>
              </w:rPr>
            </w:pPr>
          </w:p>
        </w:tc>
        <w:tc>
          <w:tcPr>
            <w:tcW w:w="8920" w:type="dxa"/>
            <w:vAlign w:val="bottom"/>
          </w:tcPr>
          <w:p>
            <w:pPr>
              <w:ind w:left="380"/>
              <w:spacing w:after="0"/>
              <w:rPr>
                <w:sz w:val="20"/>
                <w:szCs w:val="20"/>
                <w:color w:val="auto"/>
              </w:rPr>
            </w:pPr>
            <w:r>
              <w:rPr>
                <w:rFonts w:ascii="Arial" w:cs="Arial" w:eastAsia="Arial" w:hAnsi="Arial"/>
                <w:sz w:val="18"/>
                <w:szCs w:val="18"/>
                <w:color w:val="auto"/>
              </w:rPr>
              <w:t>NordstromPR@Nordstrom.com</w:t>
            </w:r>
          </w:p>
        </w:tc>
      </w:tr>
      <w:tr>
        <w:trPr>
          <w:trHeight w:val="790"/>
        </w:trPr>
        <w:tc>
          <w:tcPr>
            <w:tcW w:w="232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2022-10-18T05:11:21Z</dcterms:created>
  <dcterms:modified xsi:type="dcterms:W3CDTF">2022-10-18T05:11:21Z</dcterms:modified>
</cp:coreProperties>
</file>